
<file path=[Content_Types].xml><?xml version="1.0" encoding="utf-8"?>
<Types xmlns="http://schemas.openxmlformats.org/package/2006/content-types">
  <Default Extension="png" ContentType="image/png"/>
  <Default Extension="jpe" ContentType="image/jpe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CB0B8" w14:textId="77777777" w:rsidR="000816E7" w:rsidRDefault="00981381" w:rsidP="000816E7">
      <w:r>
        <w:rPr>
          <w:noProof/>
        </w:rPr>
        <mc:AlternateContent>
          <mc:Choice Requires="wps">
            <w:drawing>
              <wp:anchor distT="0" distB="0" distL="114300" distR="114300" simplePos="0" relativeHeight="251659264" behindDoc="0" locked="0" layoutInCell="1" allowOverlap="1" wp14:anchorId="2862CA63" wp14:editId="70FAFEB2">
                <wp:simplePos x="0" y="0"/>
                <wp:positionH relativeFrom="column">
                  <wp:posOffset>-400050</wp:posOffset>
                </wp:positionH>
                <wp:positionV relativeFrom="paragraph">
                  <wp:posOffset>114300</wp:posOffset>
                </wp:positionV>
                <wp:extent cx="6781800" cy="93726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6781800" cy="9372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D0C687" id="Rectangle 18" o:spid="_x0000_s1026" style="position:absolute;margin-left:-31.5pt;margin-top:9pt;width:534pt;height:7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" filled="f" strokecolor="#1f3763 [1604]" strokeweight="1pt"/>
            </w:pict>
          </mc:Fallback>
        </mc:AlternateContent>
      </w:r>
    </w:p>
    <w:p w14:paraId="35F44FDF" w14:textId="77777777" w:rsidR="006F393B" w:rsidRPr="006F393B" w:rsidRDefault="006F393B" w:rsidP="00A73C9E">
      <w:pPr>
        <w:tabs>
          <w:tab w:val="left" w:pos="3840"/>
        </w:tabs>
        <w:jc w:val="center"/>
        <w:rPr>
          <w:rFonts w:eastAsia="Times New Roman" w:cs="Times New Roman"/>
          <w:color w:val="1F4E79" w:themeColor="accent5" w:themeShade="80"/>
          <w:sz w:val="16"/>
          <w:szCs w:val="16"/>
        </w:rPr>
      </w:pPr>
    </w:p>
    <w:p w14:paraId="78A8ED5C" w14:textId="77777777" w:rsidR="00A73C9E" w:rsidRPr="006F393B" w:rsidRDefault="003D0310" w:rsidP="00A73C9E">
      <w:pPr>
        <w:tabs>
          <w:tab w:val="left" w:pos="3840"/>
        </w:tabs>
        <w:jc w:val="center"/>
        <w:rPr>
          <w:rFonts w:eastAsia="Times New Roman" w:cs="Times New Roman"/>
          <w:b/>
          <w:sz w:val="60"/>
          <w:szCs w:val="60"/>
        </w:rPr>
      </w:pPr>
      <w:r>
        <w:rPr>
          <w:noProof/>
        </w:rPr>
        <mc:AlternateContent>
          <mc:Choice Requires="wps">
            <w:drawing>
              <wp:anchor distT="0" distB="0" distL="114300" distR="114300" simplePos="0" relativeHeight="251661312" behindDoc="0" locked="0" layoutInCell="1" allowOverlap="1" wp14:anchorId="61164D08" wp14:editId="2F96219F">
                <wp:simplePos x="0" y="0"/>
                <wp:positionH relativeFrom="column">
                  <wp:posOffset>666750</wp:posOffset>
                </wp:positionH>
                <wp:positionV relativeFrom="paragraph">
                  <wp:posOffset>135890</wp:posOffset>
                </wp:positionV>
                <wp:extent cx="4648200" cy="832485"/>
                <wp:effectExtent l="0" t="0" r="0" b="62865"/>
                <wp:wrapNone/>
                <wp:docPr id="3"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8200" cy="832485"/>
                        </a:xfrm>
                        <a:prstGeom prst="rect">
                          <a:avLst/>
                        </a:prstGeom>
                        <a:no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632C8924" w14:textId="77777777" w:rsidR="00BB7225" w:rsidRPr="0042662B" w:rsidRDefault="00BB7225" w:rsidP="003D0310">
                            <w:pPr>
                              <w:pStyle w:val="NormalWeb"/>
                              <w:spacing w:before="0" w:beforeAutospacing="0" w:after="0" w:afterAutospacing="0"/>
                              <w:jc w:val="center"/>
                              <w:rPr>
                                <w:sz w:val="48"/>
                                <w:szCs w:val="48"/>
                              </w:rPr>
                            </w:pPr>
                            <w:r w:rsidRPr="0042662B">
                              <w:rPr>
                                <w:rFonts w:ascii="Verdana" w:eastAsia="Verdana" w:hAnsi="Verdana" w:cs="Verdana"/>
                                <w:color w:val="538135" w:themeColor="accent6" w:themeShade="BF"/>
                                <w:kern w:val="24"/>
                                <w:sz w:val="48"/>
                                <w:szCs w:val="48"/>
                              </w:rPr>
                              <w:t xml:space="preserve">Biodiesel Processing Using </w:t>
                            </w:r>
                            <w:r w:rsidRPr="00E44D19">
                              <w:rPr>
                                <w:rFonts w:ascii="Verdana" w:eastAsia="Verdana" w:hAnsi="Verdana" w:cs="Verdana"/>
                                <w:i/>
                                <w:color w:val="538135" w:themeColor="accent6" w:themeShade="BF"/>
                                <w:kern w:val="24"/>
                                <w:sz w:val="48"/>
                                <w:szCs w:val="48"/>
                              </w:rPr>
                              <w:t>Supercritical</w:t>
                            </w:r>
                            <w:r w:rsidRPr="0042662B">
                              <w:rPr>
                                <w:rFonts w:ascii="Verdana" w:eastAsia="Verdana" w:hAnsi="Verdana" w:cs="Verdana"/>
                                <w:color w:val="538135" w:themeColor="accent6" w:themeShade="BF"/>
                                <w:kern w:val="24"/>
                                <w:sz w:val="48"/>
                                <w:szCs w:val="48"/>
                              </w:rPr>
                              <w:t xml:space="preserve"> Technology</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type w14:anchorId="61164D08" id="_x0000_t202" coordsize="21600,21600" o:spt="202" path="m,l,21600r21600,l21600,xe">
                <v:stroke joinstyle="miter"/>
                <v:path gradientshapeok="t" o:connecttype="rect"/>
              </v:shapetype>
              <v:shape id="TextBox 17" o:spid="_x0000_s1026" type="#_x0000_t202" style="position:absolute;left:0;text-align:left;margin-left:52.5pt;margin-top:10.7pt;width:366pt;height:6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" filled="f" stroked="f">
                <v:shadow on="t" color="black" opacity="20971f" offset="0,2.2pt"/>
                <v:textbox style="mso-fit-shape-to-text:t">
                  <w:txbxContent>
                    <w:p w14:paraId="632C8924" w14:textId="77777777" w:rsidR="00BB7225" w:rsidRPr="0042662B" w:rsidRDefault="00BB7225" w:rsidP="003D0310">
                      <w:pPr>
                        <w:pStyle w:val="NormalWeb"/>
                        <w:spacing w:before="0" w:beforeAutospacing="0" w:after="0" w:afterAutospacing="0"/>
                        <w:jc w:val="center"/>
                        <w:rPr>
                          <w:sz w:val="48"/>
                          <w:szCs w:val="48"/>
                        </w:rPr>
                      </w:pPr>
                      <w:r w:rsidRPr="0042662B">
                        <w:rPr>
                          <w:rFonts w:ascii="Verdana" w:eastAsia="Verdana" w:hAnsi="Verdana" w:cs="Verdana"/>
                          <w:color w:val="538135" w:themeColor="accent6" w:themeShade="BF"/>
                          <w:kern w:val="24"/>
                          <w:sz w:val="48"/>
                          <w:szCs w:val="48"/>
                        </w:rPr>
                        <w:t xml:space="preserve">Biodiesel Processing Using </w:t>
                      </w:r>
                      <w:r w:rsidRPr="00E44D19">
                        <w:rPr>
                          <w:rFonts w:ascii="Verdana" w:eastAsia="Verdana" w:hAnsi="Verdana" w:cs="Verdana"/>
                          <w:i/>
                          <w:color w:val="538135" w:themeColor="accent6" w:themeShade="BF"/>
                          <w:kern w:val="24"/>
                          <w:sz w:val="48"/>
                          <w:szCs w:val="48"/>
                        </w:rPr>
                        <w:t>Supercritical</w:t>
                      </w:r>
                      <w:r w:rsidRPr="0042662B">
                        <w:rPr>
                          <w:rFonts w:ascii="Verdana" w:eastAsia="Verdana" w:hAnsi="Verdana" w:cs="Verdana"/>
                          <w:color w:val="538135" w:themeColor="accent6" w:themeShade="BF"/>
                          <w:kern w:val="24"/>
                          <w:sz w:val="48"/>
                          <w:szCs w:val="48"/>
                        </w:rPr>
                        <w:t xml:space="preserve"> Technology</w:t>
                      </w:r>
                    </w:p>
                  </w:txbxContent>
                </v:textbox>
              </v:shape>
            </w:pict>
          </mc:Fallback>
        </mc:AlternateContent>
      </w:r>
    </w:p>
    <w:p w14:paraId="03A6C9FA" w14:textId="77777777" w:rsidR="003D0310" w:rsidRDefault="003D0310" w:rsidP="00A73C9E">
      <w:pPr>
        <w:tabs>
          <w:tab w:val="left" w:pos="3840"/>
        </w:tabs>
        <w:jc w:val="center"/>
        <w:rPr>
          <w:rFonts w:eastAsia="Times New Roman" w:cs="Times New Roman"/>
          <w:b/>
          <w:color w:val="595959" w:themeColor="text1" w:themeTint="A6"/>
          <w:sz w:val="28"/>
          <w:szCs w:val="28"/>
        </w:rPr>
      </w:pPr>
    </w:p>
    <w:p w14:paraId="309F307F" w14:textId="77777777" w:rsidR="00A73C9E" w:rsidRPr="003D0310" w:rsidRDefault="003D0310" w:rsidP="00A73C9E">
      <w:pPr>
        <w:tabs>
          <w:tab w:val="left" w:pos="3840"/>
        </w:tabs>
        <w:jc w:val="center"/>
        <w:rPr>
          <w:rFonts w:eastAsia="Times New Roman" w:cs="Times New Roman"/>
          <w:b/>
          <w:color w:val="595959" w:themeColor="text1" w:themeTint="A6"/>
          <w:sz w:val="28"/>
          <w:szCs w:val="28"/>
        </w:rPr>
      </w:pPr>
      <w:r>
        <w:rPr>
          <w:rFonts w:eastAsia="Times New Roman" w:cs="Times New Roman"/>
          <w:b/>
          <w:color w:val="595959" w:themeColor="text1" w:themeTint="A6"/>
          <w:sz w:val="28"/>
          <w:szCs w:val="28"/>
        </w:rPr>
        <w:br/>
      </w:r>
      <w:r w:rsidR="00A73C9E" w:rsidRPr="003D0310">
        <w:rPr>
          <w:rFonts w:eastAsia="Times New Roman" w:cs="Times New Roman"/>
          <w:b/>
          <w:color w:val="595959" w:themeColor="text1" w:themeTint="A6"/>
          <w:sz w:val="28"/>
          <w:szCs w:val="28"/>
        </w:rPr>
        <w:t>Business Plan Summary</w:t>
      </w:r>
    </w:p>
    <w:p w14:paraId="66144636" w14:textId="77777777" w:rsidR="00A73C9E" w:rsidRPr="00E44D19" w:rsidRDefault="00A73C9E" w:rsidP="00A73C9E">
      <w:pPr>
        <w:tabs>
          <w:tab w:val="left" w:pos="3840"/>
        </w:tabs>
        <w:jc w:val="center"/>
        <w:rPr>
          <w:rFonts w:eastAsia="Times New Roman" w:cs="Times New Roman"/>
          <w:i/>
          <w:color w:val="2E74B5" w:themeColor="accent5" w:themeShade="BF"/>
          <w:sz w:val="28"/>
          <w:szCs w:val="28"/>
        </w:rPr>
      </w:pPr>
      <w:r w:rsidRPr="00E44D19">
        <w:rPr>
          <w:rFonts w:eastAsia="Times New Roman" w:cs="Times New Roman"/>
          <w:i/>
          <w:color w:val="2E74B5" w:themeColor="accent5" w:themeShade="BF"/>
          <w:sz w:val="28"/>
          <w:szCs w:val="28"/>
        </w:rPr>
        <w:t xml:space="preserve">To build and operate multiple </w:t>
      </w:r>
      <w:r w:rsidR="003D0310" w:rsidRPr="00E44D19">
        <w:rPr>
          <w:rFonts w:eastAsia="Times New Roman" w:cs="Times New Roman"/>
          <w:i/>
          <w:color w:val="2E74B5" w:themeColor="accent5" w:themeShade="BF"/>
          <w:sz w:val="28"/>
          <w:szCs w:val="28"/>
        </w:rPr>
        <w:t>bio</w:t>
      </w:r>
      <w:r w:rsidRPr="00E44D19">
        <w:rPr>
          <w:rFonts w:eastAsia="Times New Roman" w:cs="Times New Roman"/>
          <w:i/>
          <w:color w:val="2E74B5" w:themeColor="accent5" w:themeShade="BF"/>
          <w:sz w:val="28"/>
          <w:szCs w:val="28"/>
        </w:rPr>
        <w:t>diesel plants</w:t>
      </w:r>
      <w:r w:rsidR="00E44D19">
        <w:rPr>
          <w:rFonts w:eastAsia="Times New Roman" w:cs="Times New Roman"/>
          <w:i/>
          <w:color w:val="2E74B5" w:themeColor="accent5" w:themeShade="BF"/>
          <w:sz w:val="28"/>
          <w:szCs w:val="28"/>
        </w:rPr>
        <w:t xml:space="preserve"> nationwide and overseas</w:t>
      </w:r>
    </w:p>
    <w:p w14:paraId="32D669CC" w14:textId="77777777" w:rsidR="00981381" w:rsidRPr="00E44D19" w:rsidRDefault="00981381" w:rsidP="00A73C9E">
      <w:pPr>
        <w:tabs>
          <w:tab w:val="left" w:pos="3840"/>
        </w:tabs>
        <w:jc w:val="center"/>
        <w:rPr>
          <w:rFonts w:eastAsia="Times New Roman" w:cs="Times New Roman"/>
          <w:i/>
          <w:sz w:val="28"/>
          <w:szCs w:val="28"/>
        </w:rPr>
      </w:pPr>
    </w:p>
    <w:p w14:paraId="66A58B54" w14:textId="77777777" w:rsidR="00A73C9E" w:rsidRDefault="00A73C9E" w:rsidP="003D0310">
      <w:pPr>
        <w:tabs>
          <w:tab w:val="left" w:pos="3840"/>
        </w:tabs>
        <w:jc w:val="center"/>
        <w:rPr>
          <w:rFonts w:eastAsia="Times New Roman" w:cs="Times New Roman"/>
          <w:sz w:val="24"/>
          <w:szCs w:val="24"/>
        </w:rPr>
      </w:pPr>
      <w:r>
        <w:rPr>
          <w:rFonts w:eastAsia="Times New Roman" w:cs="Times New Roman"/>
          <w:noProof/>
          <w:sz w:val="24"/>
          <w:szCs w:val="24"/>
        </w:rPr>
        <w:drawing>
          <wp:inline distT="0" distB="0" distL="0" distR="0" wp14:anchorId="2D9491F3" wp14:editId="37AFF22B">
            <wp:extent cx="4562475" cy="1135549"/>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7.jpe"/>
                    <pic:cNvPicPr/>
                  </pic:nvPicPr>
                  <pic:blipFill>
                    <a:blip r:embed="rId8">
                      <a:extLst>
                        <a:ext uri="{28A0092B-C50C-407E-A947-70E740481C1C}">
                          <a14:useLocalDpi xmlns:a14="http://schemas.microsoft.com/office/drawing/2010/main" val="0"/>
                        </a:ext>
                      </a:extLst>
                    </a:blip>
                    <a:stretch>
                      <a:fillRect/>
                    </a:stretch>
                  </pic:blipFill>
                  <pic:spPr>
                    <a:xfrm>
                      <a:off x="0" y="0"/>
                      <a:ext cx="4643350" cy="1155678"/>
                    </a:xfrm>
                    <a:prstGeom prst="rect">
                      <a:avLst/>
                    </a:prstGeom>
                  </pic:spPr>
                </pic:pic>
              </a:graphicData>
            </a:graphic>
          </wp:inline>
        </w:drawing>
      </w:r>
    </w:p>
    <w:p w14:paraId="77DEF5A5" w14:textId="77777777" w:rsidR="00A73C9E" w:rsidRDefault="002B5661" w:rsidP="00A73C9E">
      <w:pPr>
        <w:tabs>
          <w:tab w:val="left" w:pos="3840"/>
        </w:tabs>
        <w:rPr>
          <w:rFonts w:eastAsia="Times New Roman" w:cs="Times New Roman"/>
          <w:sz w:val="24"/>
          <w:szCs w:val="24"/>
        </w:rPr>
      </w:pPr>
      <w:r>
        <w:rPr>
          <w:rFonts w:eastAsia="Times New Roman" w:cs="Times New Roman"/>
          <w:sz w:val="24"/>
          <w:szCs w:val="24"/>
        </w:rPr>
        <w:t xml:space="preserve">   </w:t>
      </w:r>
    </w:p>
    <w:p w14:paraId="3F82BCDE" w14:textId="77777777" w:rsidR="00E21D50" w:rsidRDefault="003D0310" w:rsidP="00EA1EDF">
      <w:pPr>
        <w:ind w:left="-90" w:right="-270" w:hanging="90"/>
        <w:rPr>
          <w:b/>
          <w:sz w:val="24"/>
          <w:szCs w:val="24"/>
          <w:u w:val="single"/>
        </w:rPr>
      </w:pPr>
      <w:r>
        <w:rPr>
          <w:rFonts w:eastAsia="Times New Roman" w:cs="Times New Roman"/>
          <w:noProof/>
          <w:sz w:val="24"/>
          <w:szCs w:val="24"/>
        </w:rPr>
        <w:t xml:space="preserve">              </w:t>
      </w:r>
      <w:r w:rsidR="002B5661">
        <w:rPr>
          <w:rFonts w:eastAsia="Times New Roman" w:cs="Times New Roman"/>
          <w:noProof/>
          <w:sz w:val="24"/>
          <w:szCs w:val="24"/>
        </w:rPr>
        <w:t xml:space="preserve">     </w:t>
      </w:r>
      <w:r w:rsidR="00A73C9E">
        <w:rPr>
          <w:rFonts w:eastAsia="Times New Roman" w:cs="Times New Roman"/>
          <w:noProof/>
          <w:sz w:val="24"/>
          <w:szCs w:val="24"/>
        </w:rPr>
        <w:drawing>
          <wp:inline distT="0" distB="0" distL="0" distR="0" wp14:anchorId="245263C7" wp14:editId="07CA9559">
            <wp:extent cx="1748247" cy="1352464"/>
            <wp:effectExtent l="0" t="0" r="444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u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5963" cy="1397114"/>
                    </a:xfrm>
                    <a:prstGeom prst="rect">
                      <a:avLst/>
                    </a:prstGeom>
                  </pic:spPr>
                </pic:pic>
              </a:graphicData>
            </a:graphic>
          </wp:inline>
        </w:drawing>
      </w:r>
      <w:r w:rsidR="00A73C9E">
        <w:rPr>
          <w:rFonts w:eastAsia="Times New Roman" w:cs="Times New Roman"/>
          <w:noProof/>
          <w:sz w:val="24"/>
          <w:szCs w:val="24"/>
        </w:rPr>
        <w:drawing>
          <wp:inline distT="0" distB="0" distL="0" distR="0" wp14:anchorId="01D038D3" wp14:editId="2C20A0B0">
            <wp:extent cx="3133725" cy="1420998"/>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8.jpe"/>
                    <pic:cNvPicPr/>
                  </pic:nvPicPr>
                  <pic:blipFill>
                    <a:blip r:embed="rId10">
                      <a:extLst>
                        <a:ext uri="{28A0092B-C50C-407E-A947-70E740481C1C}">
                          <a14:useLocalDpi xmlns:a14="http://schemas.microsoft.com/office/drawing/2010/main" val="0"/>
                        </a:ext>
                      </a:extLst>
                    </a:blip>
                    <a:stretch>
                      <a:fillRect/>
                    </a:stretch>
                  </pic:blipFill>
                  <pic:spPr>
                    <a:xfrm>
                      <a:off x="0" y="0"/>
                      <a:ext cx="3179351" cy="1441687"/>
                    </a:xfrm>
                    <a:prstGeom prst="rect">
                      <a:avLst/>
                    </a:prstGeom>
                  </pic:spPr>
                </pic:pic>
              </a:graphicData>
            </a:graphic>
          </wp:inline>
        </w:drawing>
      </w:r>
    </w:p>
    <w:p w14:paraId="1594694B" w14:textId="77777777" w:rsidR="00E21D50" w:rsidRDefault="00A73C9E" w:rsidP="00A73C9E">
      <w:pPr>
        <w:ind w:left="-360"/>
        <w:jc w:val="center"/>
        <w:rPr>
          <w:b/>
          <w:sz w:val="24"/>
          <w:szCs w:val="24"/>
          <w:u w:val="single"/>
        </w:rPr>
      </w:pPr>
      <w:r>
        <w:rPr>
          <w:rFonts w:eastAsia="Times New Roman" w:cs="Times New Roman"/>
          <w:noProof/>
          <w:sz w:val="24"/>
          <w:szCs w:val="24"/>
        </w:rPr>
        <w:drawing>
          <wp:inline distT="0" distB="0" distL="0" distR="0" wp14:anchorId="7AC155F4" wp14:editId="660B7690">
            <wp:extent cx="2133600" cy="140817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SC50MBC872A021001.png"/>
                    <pic:cNvPicPr/>
                  </pic:nvPicPr>
                  <pic:blipFill>
                    <a:blip r:embed="rId11">
                      <a:extLst>
                        <a:ext uri="{28A0092B-C50C-407E-A947-70E740481C1C}">
                          <a14:useLocalDpi xmlns:a14="http://schemas.microsoft.com/office/drawing/2010/main" val="0"/>
                        </a:ext>
                      </a:extLst>
                    </a:blip>
                    <a:stretch>
                      <a:fillRect/>
                    </a:stretch>
                  </pic:blipFill>
                  <pic:spPr>
                    <a:xfrm>
                      <a:off x="0" y="0"/>
                      <a:ext cx="2133600" cy="1408176"/>
                    </a:xfrm>
                    <a:prstGeom prst="rect">
                      <a:avLst/>
                    </a:prstGeom>
                  </pic:spPr>
                </pic:pic>
              </a:graphicData>
            </a:graphic>
          </wp:inline>
        </w:drawing>
      </w:r>
    </w:p>
    <w:p w14:paraId="79981126" w14:textId="77777777" w:rsidR="00E21D50" w:rsidRDefault="00981381" w:rsidP="003D0310">
      <w:pPr>
        <w:ind w:left="-360"/>
        <w:jc w:val="center"/>
        <w:rPr>
          <w:color w:val="FF0000"/>
          <w:sz w:val="24"/>
          <w:szCs w:val="24"/>
          <w:u w:val="single"/>
        </w:rPr>
      </w:pPr>
      <w:r w:rsidRPr="00981381">
        <w:rPr>
          <w:i/>
          <w:color w:val="595959" w:themeColor="text1" w:themeTint="A6"/>
          <w:sz w:val="24"/>
          <w:szCs w:val="24"/>
        </w:rPr>
        <w:t>A Project By</w:t>
      </w:r>
      <w:r>
        <w:rPr>
          <w:i/>
          <w:color w:val="595959" w:themeColor="text1" w:themeTint="A6"/>
          <w:sz w:val="24"/>
          <w:szCs w:val="24"/>
        </w:rPr>
        <w:t>:</w:t>
      </w:r>
      <w:r w:rsidR="003D0310">
        <w:rPr>
          <w:i/>
          <w:color w:val="595959" w:themeColor="text1" w:themeTint="A6"/>
          <w:sz w:val="24"/>
          <w:szCs w:val="24"/>
        </w:rPr>
        <w:br/>
      </w:r>
      <w:r w:rsidR="003D0310">
        <w:rPr>
          <w:i/>
          <w:color w:val="595959" w:themeColor="text1" w:themeTint="A6"/>
          <w:sz w:val="24"/>
          <w:szCs w:val="24"/>
        </w:rPr>
        <w:br/>
      </w:r>
      <w:r w:rsidR="003D0310">
        <w:rPr>
          <w:i/>
          <w:noProof/>
          <w:color w:val="595959" w:themeColor="text1" w:themeTint="A6"/>
          <w:sz w:val="24"/>
          <w:szCs w:val="24"/>
        </w:rPr>
        <w:drawing>
          <wp:inline distT="0" distB="0" distL="0" distR="0" wp14:anchorId="60D05524" wp14:editId="335F3652">
            <wp:extent cx="3450336" cy="8107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ewable Bold LOGO.jpg"/>
                    <pic:cNvPicPr/>
                  </pic:nvPicPr>
                  <pic:blipFill>
                    <a:blip r:embed="rId12">
                      <a:extLst>
                        <a:ext uri="{28A0092B-C50C-407E-A947-70E740481C1C}">
                          <a14:useLocalDpi xmlns:a14="http://schemas.microsoft.com/office/drawing/2010/main" val="0"/>
                        </a:ext>
                      </a:extLst>
                    </a:blip>
                    <a:stretch>
                      <a:fillRect/>
                    </a:stretch>
                  </pic:blipFill>
                  <pic:spPr>
                    <a:xfrm>
                      <a:off x="0" y="0"/>
                      <a:ext cx="3450336" cy="810768"/>
                    </a:xfrm>
                    <a:prstGeom prst="rect">
                      <a:avLst/>
                    </a:prstGeom>
                  </pic:spPr>
                </pic:pic>
              </a:graphicData>
            </a:graphic>
          </wp:inline>
        </w:drawing>
      </w:r>
      <w:r w:rsidR="003D0310">
        <w:rPr>
          <w:i/>
          <w:color w:val="595959" w:themeColor="text1" w:themeTint="A6"/>
          <w:sz w:val="24"/>
          <w:szCs w:val="24"/>
        </w:rPr>
        <w:br/>
      </w:r>
      <w:r w:rsidR="00E44D19">
        <w:rPr>
          <w:i/>
          <w:color w:val="595959" w:themeColor="text1" w:themeTint="A6"/>
          <w:sz w:val="24"/>
          <w:szCs w:val="24"/>
        </w:rPr>
        <w:t>February 2018</w:t>
      </w:r>
      <w:r w:rsidR="003D0310">
        <w:rPr>
          <w:i/>
          <w:color w:val="595959" w:themeColor="text1" w:themeTint="A6"/>
          <w:sz w:val="24"/>
          <w:szCs w:val="24"/>
        </w:rPr>
        <w:br/>
      </w:r>
    </w:p>
    <w:p w14:paraId="59D6D3C4" w14:textId="77777777" w:rsidR="00E44D19" w:rsidRDefault="00E44D19" w:rsidP="00F25B0C">
      <w:pPr>
        <w:spacing w:after="0"/>
        <w:rPr>
          <w:b/>
          <w:sz w:val="24"/>
          <w:szCs w:val="24"/>
          <w:u w:val="single"/>
        </w:rPr>
      </w:pPr>
      <w:bookmarkStart w:id="0" w:name="_Hlk506092455"/>
    </w:p>
    <w:p w14:paraId="2186F4E0" w14:textId="77777777" w:rsidR="00E44D19" w:rsidRDefault="00E44D19" w:rsidP="00F25B0C">
      <w:pPr>
        <w:spacing w:after="0"/>
        <w:rPr>
          <w:b/>
          <w:sz w:val="24"/>
          <w:szCs w:val="24"/>
          <w:u w:val="single"/>
        </w:rPr>
      </w:pPr>
    </w:p>
    <w:p w14:paraId="516CF3B7" w14:textId="77777777" w:rsidR="00F25B0C" w:rsidRDefault="00C95D5F" w:rsidP="00F25B0C">
      <w:pPr>
        <w:spacing w:after="0"/>
        <w:rPr>
          <w:b/>
          <w:sz w:val="24"/>
          <w:szCs w:val="24"/>
          <w:u w:val="single"/>
        </w:rPr>
      </w:pPr>
      <w:r w:rsidRPr="00C95D5F">
        <w:rPr>
          <w:b/>
          <w:sz w:val="24"/>
          <w:szCs w:val="24"/>
          <w:u w:val="single"/>
        </w:rPr>
        <w:t>Overview</w:t>
      </w:r>
    </w:p>
    <w:p w14:paraId="5BCE921D" w14:textId="77777777" w:rsidR="00C92FFB" w:rsidRPr="00D702E1" w:rsidRDefault="00C529E5" w:rsidP="000D0284">
      <w:pPr>
        <w:spacing w:line="300" w:lineRule="auto"/>
        <w:rPr>
          <w:color w:val="262626" w:themeColor="text1" w:themeTint="D9"/>
        </w:rPr>
      </w:pPr>
      <w:r w:rsidRPr="00D702E1">
        <w:rPr>
          <w:color w:val="262626" w:themeColor="text1" w:themeTint="D9"/>
        </w:rPr>
        <w:t>Jatro Renewables</w:t>
      </w:r>
      <w:r w:rsidR="00C92FFB" w:rsidRPr="00D702E1">
        <w:rPr>
          <w:color w:val="262626" w:themeColor="text1" w:themeTint="D9"/>
        </w:rPr>
        <w:t xml:space="preserve"> </w:t>
      </w:r>
      <w:r w:rsidR="003D0310" w:rsidRPr="00D702E1">
        <w:rPr>
          <w:color w:val="262626" w:themeColor="text1" w:themeTint="D9"/>
        </w:rPr>
        <w:t xml:space="preserve">(“the Company”) </w:t>
      </w:r>
      <w:r w:rsidR="00C92FFB" w:rsidRPr="00D702E1">
        <w:rPr>
          <w:color w:val="262626" w:themeColor="text1" w:themeTint="D9"/>
        </w:rPr>
        <w:t xml:space="preserve">is planning to build a chain of </w:t>
      </w:r>
      <w:r w:rsidR="003D0310" w:rsidRPr="00D702E1">
        <w:rPr>
          <w:color w:val="262626" w:themeColor="text1" w:themeTint="D9"/>
        </w:rPr>
        <w:t>bio</w:t>
      </w:r>
      <w:r w:rsidR="00C92FFB" w:rsidRPr="00D702E1">
        <w:rPr>
          <w:color w:val="262626" w:themeColor="text1" w:themeTint="D9"/>
        </w:rPr>
        <w:t>diesel (</w:t>
      </w:r>
      <w:r w:rsidR="003D0310" w:rsidRPr="00D702E1">
        <w:rPr>
          <w:color w:val="262626" w:themeColor="text1" w:themeTint="D9"/>
        </w:rPr>
        <w:t>BD</w:t>
      </w:r>
      <w:r w:rsidR="00C92FFB" w:rsidRPr="00D702E1">
        <w:rPr>
          <w:color w:val="262626" w:themeColor="text1" w:themeTint="D9"/>
        </w:rPr>
        <w:t xml:space="preserve">) plants it will co-own and operate through a joint venture holding company. </w:t>
      </w:r>
      <w:bookmarkEnd w:id="0"/>
      <w:r w:rsidR="00C92FFB" w:rsidRPr="00D702E1">
        <w:rPr>
          <w:color w:val="262626" w:themeColor="text1" w:themeTint="D9"/>
        </w:rPr>
        <w:t xml:space="preserve">Actual plant production will range in output </w:t>
      </w:r>
      <w:r w:rsidR="003D0310" w:rsidRPr="00D702E1">
        <w:rPr>
          <w:color w:val="262626" w:themeColor="text1" w:themeTint="D9"/>
        </w:rPr>
        <w:t xml:space="preserve">from 15 to </w:t>
      </w:r>
      <w:r w:rsidR="00E44D19">
        <w:rPr>
          <w:color w:val="262626" w:themeColor="text1" w:themeTint="D9"/>
        </w:rPr>
        <w:t>10</w:t>
      </w:r>
      <w:r w:rsidR="003D0310" w:rsidRPr="00D702E1">
        <w:rPr>
          <w:color w:val="262626" w:themeColor="text1" w:themeTint="D9"/>
        </w:rPr>
        <w:t>0 million gallons per year</w:t>
      </w:r>
      <w:r w:rsidR="00D702E1">
        <w:rPr>
          <w:color w:val="262626" w:themeColor="text1" w:themeTint="D9"/>
        </w:rPr>
        <w:t>, and a</w:t>
      </w:r>
      <w:r w:rsidR="00B7574A" w:rsidRPr="00D702E1">
        <w:rPr>
          <w:color w:val="262626" w:themeColor="text1" w:themeTint="D9"/>
        </w:rPr>
        <w:t>ctual locations</w:t>
      </w:r>
      <w:r w:rsidR="003D0310" w:rsidRPr="00D702E1">
        <w:rPr>
          <w:color w:val="262626" w:themeColor="text1" w:themeTint="D9"/>
        </w:rPr>
        <w:t xml:space="preserve"> </w:t>
      </w:r>
      <w:r w:rsidR="00B7574A" w:rsidRPr="00D702E1">
        <w:rPr>
          <w:color w:val="262626" w:themeColor="text1" w:themeTint="D9"/>
        </w:rPr>
        <w:t>will</w:t>
      </w:r>
      <w:r w:rsidR="003D0310" w:rsidRPr="00D702E1">
        <w:rPr>
          <w:color w:val="262626" w:themeColor="text1" w:themeTint="D9"/>
        </w:rPr>
        <w:t xml:space="preserve"> depend</w:t>
      </w:r>
      <w:r w:rsidR="00B7574A" w:rsidRPr="00D702E1">
        <w:rPr>
          <w:color w:val="262626" w:themeColor="text1" w:themeTint="D9"/>
        </w:rPr>
        <w:t xml:space="preserve"> on</w:t>
      </w:r>
      <w:r w:rsidR="00C92FFB" w:rsidRPr="00D702E1">
        <w:rPr>
          <w:color w:val="262626" w:themeColor="text1" w:themeTint="D9"/>
        </w:rPr>
        <w:t xml:space="preserve"> local market demand and </w:t>
      </w:r>
      <w:r w:rsidR="003D0310" w:rsidRPr="00D702E1">
        <w:rPr>
          <w:color w:val="262626" w:themeColor="text1" w:themeTint="D9"/>
        </w:rPr>
        <w:t xml:space="preserve">the </w:t>
      </w:r>
      <w:r w:rsidR="00C92FFB" w:rsidRPr="00D702E1">
        <w:rPr>
          <w:color w:val="262626" w:themeColor="text1" w:themeTint="D9"/>
        </w:rPr>
        <w:t>availability of feedstocks to produce the fuel</w:t>
      </w:r>
      <w:r w:rsidR="003D0310" w:rsidRPr="00D702E1">
        <w:rPr>
          <w:color w:val="262626" w:themeColor="text1" w:themeTint="D9"/>
        </w:rPr>
        <w:t>.</w:t>
      </w:r>
      <w:r w:rsidR="00C92FFB" w:rsidRPr="00D702E1">
        <w:rPr>
          <w:color w:val="262626" w:themeColor="text1" w:themeTint="D9"/>
        </w:rPr>
        <w:t xml:space="preserve"> </w:t>
      </w:r>
    </w:p>
    <w:p w14:paraId="1EC84C30" w14:textId="77777777" w:rsidR="00E44D19" w:rsidRDefault="00B7574A" w:rsidP="003D0310">
      <w:pPr>
        <w:spacing w:after="120"/>
        <w:rPr>
          <w:color w:val="262626" w:themeColor="text1" w:themeTint="D9"/>
        </w:rPr>
      </w:pPr>
      <w:r w:rsidRPr="00D702E1">
        <w:rPr>
          <w:color w:val="262626" w:themeColor="text1" w:themeTint="D9"/>
        </w:rPr>
        <w:t>Since 2004</w:t>
      </w:r>
      <w:r w:rsidR="00E44D19">
        <w:rPr>
          <w:color w:val="262626" w:themeColor="text1" w:themeTint="D9"/>
        </w:rPr>
        <w:t xml:space="preserve"> and</w:t>
      </w:r>
      <w:r w:rsidRPr="00D702E1">
        <w:rPr>
          <w:color w:val="262626" w:themeColor="text1" w:themeTint="D9"/>
        </w:rPr>
        <w:t xml:space="preserve"> 18 biodiesel plants under its belt, </w:t>
      </w:r>
      <w:r w:rsidR="003D0310" w:rsidRPr="00D702E1">
        <w:rPr>
          <w:color w:val="262626" w:themeColor="text1" w:themeTint="D9"/>
        </w:rPr>
        <w:t>Jatro’s core competencies</w:t>
      </w:r>
      <w:r w:rsidRPr="00D702E1">
        <w:rPr>
          <w:color w:val="262626" w:themeColor="text1" w:themeTint="D9"/>
        </w:rPr>
        <w:t xml:space="preserve"> have been</w:t>
      </w:r>
      <w:r w:rsidR="003D0310" w:rsidRPr="00D702E1">
        <w:rPr>
          <w:color w:val="262626" w:themeColor="text1" w:themeTint="D9"/>
        </w:rPr>
        <w:t xml:space="preserve"> designing, installing and operating biodiesel plants. </w:t>
      </w:r>
    </w:p>
    <w:p w14:paraId="051F8543" w14:textId="77777777" w:rsidR="00AE7078" w:rsidRPr="00D702E1" w:rsidRDefault="00D702E1" w:rsidP="003D0310">
      <w:pPr>
        <w:spacing w:after="120"/>
        <w:rPr>
          <w:color w:val="262626" w:themeColor="text1" w:themeTint="D9"/>
        </w:rPr>
      </w:pPr>
      <w:r w:rsidRPr="00D702E1">
        <w:rPr>
          <w:color w:val="262626" w:themeColor="text1" w:themeTint="D9"/>
        </w:rPr>
        <w:t>I</w:t>
      </w:r>
      <w:r w:rsidR="003D0310" w:rsidRPr="00D702E1">
        <w:rPr>
          <w:color w:val="262626" w:themeColor="text1" w:themeTint="D9"/>
        </w:rPr>
        <w:t>n November 2015</w:t>
      </w:r>
      <w:r w:rsidR="00AE7078" w:rsidRPr="00D702E1">
        <w:rPr>
          <w:color w:val="262626" w:themeColor="text1" w:themeTint="D9"/>
        </w:rPr>
        <w:t>,</w:t>
      </w:r>
      <w:r w:rsidR="003D0310" w:rsidRPr="00D702E1">
        <w:rPr>
          <w:color w:val="262626" w:themeColor="text1" w:themeTint="D9"/>
        </w:rPr>
        <w:t xml:space="preserve"> </w:t>
      </w:r>
      <w:r w:rsidR="00AE7078" w:rsidRPr="00D702E1">
        <w:rPr>
          <w:color w:val="262626" w:themeColor="text1" w:themeTint="D9"/>
        </w:rPr>
        <w:t xml:space="preserve">at a 60 million gallon per year </w:t>
      </w:r>
      <w:r w:rsidR="002178D6">
        <w:rPr>
          <w:color w:val="262626" w:themeColor="text1" w:themeTint="D9"/>
        </w:rPr>
        <w:t xml:space="preserve">(mmgy) </w:t>
      </w:r>
      <w:r w:rsidR="00AE7078" w:rsidRPr="00D702E1">
        <w:rPr>
          <w:color w:val="262626" w:themeColor="text1" w:themeTint="D9"/>
        </w:rPr>
        <w:t>ethanol plant in I</w:t>
      </w:r>
      <w:r w:rsidR="002178D6">
        <w:rPr>
          <w:color w:val="262626" w:themeColor="text1" w:themeTint="D9"/>
        </w:rPr>
        <w:t>l</w:t>
      </w:r>
      <w:r w:rsidR="00AE7078" w:rsidRPr="00D702E1">
        <w:rPr>
          <w:color w:val="262626" w:themeColor="text1" w:themeTint="D9"/>
        </w:rPr>
        <w:t>linois, the Company</w:t>
      </w:r>
      <w:r w:rsidR="003D0310" w:rsidRPr="00D702E1">
        <w:rPr>
          <w:color w:val="262626" w:themeColor="text1" w:themeTint="D9"/>
        </w:rPr>
        <w:t xml:space="preserve"> commercialized </w:t>
      </w:r>
      <w:r w:rsidR="00AE7078" w:rsidRPr="00D702E1">
        <w:rPr>
          <w:color w:val="262626" w:themeColor="text1" w:themeTint="D9"/>
        </w:rPr>
        <w:t xml:space="preserve">its first </w:t>
      </w:r>
      <w:r w:rsidR="003D0310" w:rsidRPr="00D702E1">
        <w:rPr>
          <w:color w:val="262626" w:themeColor="text1" w:themeTint="D9"/>
        </w:rPr>
        <w:t>patented “</w:t>
      </w:r>
      <w:r w:rsidR="00E44D19" w:rsidRPr="00E44D19">
        <w:rPr>
          <w:i/>
          <w:color w:val="262626" w:themeColor="text1" w:themeTint="D9"/>
        </w:rPr>
        <w:t>S</w:t>
      </w:r>
      <w:r w:rsidR="003D0310" w:rsidRPr="00E44D19">
        <w:rPr>
          <w:i/>
          <w:color w:val="262626" w:themeColor="text1" w:themeTint="D9"/>
        </w:rPr>
        <w:t>upercritical</w:t>
      </w:r>
      <w:r w:rsidR="003D0310" w:rsidRPr="00D702E1">
        <w:rPr>
          <w:color w:val="262626" w:themeColor="text1" w:themeTint="D9"/>
        </w:rPr>
        <w:t>”</w:t>
      </w:r>
      <w:r w:rsidR="00AE7078" w:rsidRPr="00D702E1">
        <w:rPr>
          <w:color w:val="262626" w:themeColor="text1" w:themeTint="D9"/>
        </w:rPr>
        <w:t xml:space="preserve"> biodiesel </w:t>
      </w:r>
      <w:r w:rsidR="003D0310" w:rsidRPr="00D702E1">
        <w:rPr>
          <w:color w:val="262626" w:themeColor="text1" w:themeTint="D9"/>
        </w:rPr>
        <w:t>process</w:t>
      </w:r>
      <w:r w:rsidR="00AE7078" w:rsidRPr="00D702E1">
        <w:rPr>
          <w:color w:val="262626" w:themeColor="text1" w:themeTint="D9"/>
        </w:rPr>
        <w:t xml:space="preserve"> (called </w:t>
      </w:r>
      <w:r w:rsidR="00AE7078" w:rsidRPr="00D702E1">
        <w:rPr>
          <w:i/>
          <w:color w:val="262626" w:themeColor="text1" w:themeTint="D9"/>
        </w:rPr>
        <w:t>Super</w:t>
      </w:r>
      <w:r w:rsidR="00AE7078" w:rsidRPr="00D702E1">
        <w:rPr>
          <w:color w:val="262626" w:themeColor="text1" w:themeTint="D9"/>
        </w:rPr>
        <w:t xml:space="preserve">). </w:t>
      </w:r>
    </w:p>
    <w:p w14:paraId="25481B2E" w14:textId="77777777" w:rsidR="00D702E1" w:rsidRPr="00D702E1" w:rsidRDefault="00AE7078" w:rsidP="00F770E3">
      <w:pPr>
        <w:spacing w:after="120"/>
        <w:rPr>
          <w:color w:val="262626" w:themeColor="text1" w:themeTint="D9"/>
        </w:rPr>
      </w:pPr>
      <w:r w:rsidRPr="00D702E1">
        <w:rPr>
          <w:color w:val="262626" w:themeColor="text1" w:themeTint="D9"/>
        </w:rPr>
        <w:t>Th</w:t>
      </w:r>
      <w:r w:rsidR="00F770E3">
        <w:rPr>
          <w:color w:val="262626" w:themeColor="text1" w:themeTint="D9"/>
        </w:rPr>
        <w:t>is</w:t>
      </w:r>
      <w:r w:rsidRPr="00D702E1">
        <w:rPr>
          <w:color w:val="262626" w:themeColor="text1" w:themeTint="D9"/>
        </w:rPr>
        <w:t xml:space="preserve"> </w:t>
      </w:r>
      <w:r w:rsidR="00D702E1">
        <w:rPr>
          <w:color w:val="262626" w:themeColor="text1" w:themeTint="D9"/>
        </w:rPr>
        <w:t>system</w:t>
      </w:r>
      <w:r w:rsidRPr="00D702E1">
        <w:rPr>
          <w:color w:val="262626" w:themeColor="text1" w:themeTint="D9"/>
        </w:rPr>
        <w:t xml:space="preserve"> is considered a technology achievement and break-through as </w:t>
      </w:r>
      <w:r w:rsidR="002178D6">
        <w:rPr>
          <w:color w:val="262626" w:themeColor="text1" w:themeTint="D9"/>
        </w:rPr>
        <w:t>it</w:t>
      </w:r>
      <w:r w:rsidRPr="00D702E1">
        <w:rPr>
          <w:color w:val="262626" w:themeColor="text1" w:themeTint="D9"/>
        </w:rPr>
        <w:t xml:space="preserve"> significantly lowers biodiesel production costs </w:t>
      </w:r>
      <w:r w:rsidR="002178D6">
        <w:rPr>
          <w:color w:val="262626" w:themeColor="text1" w:themeTint="D9"/>
        </w:rPr>
        <w:t>about</w:t>
      </w:r>
      <w:r w:rsidR="00D702E1">
        <w:rPr>
          <w:color w:val="262626" w:themeColor="text1" w:themeTint="D9"/>
        </w:rPr>
        <w:t xml:space="preserve"> 30% </w:t>
      </w:r>
      <w:r w:rsidR="008F339C" w:rsidRPr="00D702E1">
        <w:rPr>
          <w:color w:val="262626" w:themeColor="text1" w:themeTint="D9"/>
        </w:rPr>
        <w:t xml:space="preserve">while </w:t>
      </w:r>
      <w:r w:rsidRPr="00D702E1">
        <w:rPr>
          <w:color w:val="262626" w:themeColor="text1" w:themeTint="D9"/>
        </w:rPr>
        <w:t>allow</w:t>
      </w:r>
      <w:r w:rsidR="008F339C" w:rsidRPr="00D702E1">
        <w:rPr>
          <w:color w:val="262626" w:themeColor="text1" w:themeTint="D9"/>
        </w:rPr>
        <w:t>ing</w:t>
      </w:r>
      <w:r w:rsidRPr="00D702E1">
        <w:rPr>
          <w:color w:val="262626" w:themeColor="text1" w:themeTint="D9"/>
        </w:rPr>
        <w:t xml:space="preserve"> </w:t>
      </w:r>
      <w:r w:rsidR="008F339C" w:rsidRPr="00D702E1">
        <w:rPr>
          <w:color w:val="262626" w:themeColor="text1" w:themeTint="D9"/>
        </w:rPr>
        <w:t xml:space="preserve">for </w:t>
      </w:r>
      <w:r w:rsidRPr="00D702E1">
        <w:rPr>
          <w:color w:val="262626" w:themeColor="text1" w:themeTint="D9"/>
        </w:rPr>
        <w:t>a far wider</w:t>
      </w:r>
      <w:r w:rsidR="008F339C" w:rsidRPr="00D702E1">
        <w:rPr>
          <w:color w:val="262626" w:themeColor="text1" w:themeTint="D9"/>
        </w:rPr>
        <w:t xml:space="preserve"> choice of</w:t>
      </w:r>
      <w:r w:rsidRPr="00D702E1">
        <w:rPr>
          <w:color w:val="262626" w:themeColor="text1" w:themeTint="D9"/>
        </w:rPr>
        <w:t xml:space="preserve"> feedstock</w:t>
      </w:r>
      <w:r w:rsidR="008F339C" w:rsidRPr="00D702E1">
        <w:rPr>
          <w:color w:val="262626" w:themeColor="text1" w:themeTint="D9"/>
        </w:rPr>
        <w:t xml:space="preserve"> type</w:t>
      </w:r>
      <w:r w:rsidRPr="00D702E1">
        <w:rPr>
          <w:color w:val="262626" w:themeColor="text1" w:themeTint="D9"/>
        </w:rPr>
        <w:t>s</w:t>
      </w:r>
      <w:r w:rsidR="002178D6">
        <w:rPr>
          <w:color w:val="262626" w:themeColor="text1" w:themeTint="D9"/>
        </w:rPr>
        <w:t xml:space="preserve">, many costing half or less than </w:t>
      </w:r>
      <w:r w:rsidR="00E44D19">
        <w:rPr>
          <w:color w:val="262626" w:themeColor="text1" w:themeTint="D9"/>
        </w:rPr>
        <w:t>those</w:t>
      </w:r>
      <w:r w:rsidR="002178D6">
        <w:rPr>
          <w:color w:val="262626" w:themeColor="text1" w:themeTint="D9"/>
        </w:rPr>
        <w:t xml:space="preserve"> traditionally used.</w:t>
      </w:r>
    </w:p>
    <w:p w14:paraId="5A478442" w14:textId="77777777" w:rsidR="003D0310" w:rsidRDefault="003D0310" w:rsidP="00F770E3">
      <w:pPr>
        <w:spacing w:after="120"/>
        <w:rPr>
          <w:color w:val="262626" w:themeColor="text1" w:themeTint="D9"/>
        </w:rPr>
      </w:pPr>
      <w:r w:rsidRPr="00D702E1">
        <w:rPr>
          <w:color w:val="262626" w:themeColor="text1" w:themeTint="D9"/>
        </w:rPr>
        <w:t xml:space="preserve">In January 2017, the Company started design work integrating their patented </w:t>
      </w:r>
      <w:r w:rsidRPr="002178D6">
        <w:rPr>
          <w:i/>
          <w:color w:val="262626" w:themeColor="text1" w:themeTint="D9"/>
        </w:rPr>
        <w:t>Supercriti</w:t>
      </w:r>
      <w:r w:rsidR="00AE7078" w:rsidRPr="002178D6">
        <w:rPr>
          <w:i/>
          <w:color w:val="262626" w:themeColor="text1" w:themeTint="D9"/>
        </w:rPr>
        <w:t>c</w:t>
      </w:r>
      <w:r w:rsidRPr="002178D6">
        <w:rPr>
          <w:i/>
          <w:color w:val="262626" w:themeColor="text1" w:themeTint="D9"/>
        </w:rPr>
        <w:t xml:space="preserve">al </w:t>
      </w:r>
      <w:r w:rsidRPr="00D702E1">
        <w:rPr>
          <w:color w:val="262626" w:themeColor="text1" w:themeTint="D9"/>
        </w:rPr>
        <w:t>biodiesel plant at a</w:t>
      </w:r>
      <w:r w:rsidR="00F770E3">
        <w:rPr>
          <w:color w:val="262626" w:themeColor="text1" w:themeTint="D9"/>
        </w:rPr>
        <w:t xml:space="preserve"> 57mmgy</w:t>
      </w:r>
      <w:r w:rsidRPr="00D702E1">
        <w:rPr>
          <w:color w:val="262626" w:themeColor="text1" w:themeTint="D9"/>
        </w:rPr>
        <w:t xml:space="preserve"> ethanol plant in central California. Completion is expected by mid-summer 2018.</w:t>
      </w:r>
      <w:r w:rsidR="002178D6">
        <w:rPr>
          <w:color w:val="262626" w:themeColor="text1" w:themeTint="D9"/>
        </w:rPr>
        <w:t xml:space="preserve"> </w:t>
      </w:r>
      <w:r w:rsidR="00F770E3">
        <w:rPr>
          <w:color w:val="262626" w:themeColor="text1" w:themeTint="D9"/>
        </w:rPr>
        <w:br/>
      </w:r>
      <w:r w:rsidR="002178D6">
        <w:rPr>
          <w:color w:val="262626" w:themeColor="text1" w:themeTint="D9"/>
        </w:rPr>
        <w:t>And later this year, the Company expects to begin construction of a 15mmgy plant in California.</w:t>
      </w:r>
      <w:r w:rsidR="00E44D19">
        <w:rPr>
          <w:color w:val="262626" w:themeColor="text1" w:themeTint="D9"/>
        </w:rPr>
        <w:br/>
      </w:r>
    </w:p>
    <w:p w14:paraId="04A9BBEF" w14:textId="77777777" w:rsidR="00D702E1" w:rsidRPr="00E44D19" w:rsidRDefault="00D702E1" w:rsidP="00E44D19">
      <w:pPr>
        <w:spacing w:after="120" w:line="240" w:lineRule="auto"/>
        <w:rPr>
          <w:b/>
          <w:color w:val="262626" w:themeColor="text1" w:themeTint="D9"/>
          <w:sz w:val="24"/>
          <w:szCs w:val="24"/>
          <w:u w:val="single"/>
        </w:rPr>
      </w:pPr>
      <w:r w:rsidRPr="00E44D19">
        <w:rPr>
          <w:b/>
          <w:color w:val="262626" w:themeColor="text1" w:themeTint="D9"/>
          <w:sz w:val="24"/>
          <w:szCs w:val="24"/>
          <w:u w:val="single"/>
        </w:rPr>
        <w:t>What</w:t>
      </w:r>
      <w:r w:rsidR="008B4FA0" w:rsidRPr="00E44D19">
        <w:rPr>
          <w:b/>
          <w:color w:val="262626" w:themeColor="text1" w:themeTint="D9"/>
          <w:sz w:val="24"/>
          <w:szCs w:val="24"/>
          <w:u w:val="single"/>
        </w:rPr>
        <w:t>’s</w:t>
      </w:r>
      <w:r w:rsidRPr="00E44D19">
        <w:rPr>
          <w:b/>
          <w:color w:val="262626" w:themeColor="text1" w:themeTint="D9"/>
          <w:sz w:val="24"/>
          <w:szCs w:val="24"/>
          <w:u w:val="single"/>
        </w:rPr>
        <w:t xml:space="preserve"> driving </w:t>
      </w:r>
      <w:r w:rsidRPr="00E44D19">
        <w:rPr>
          <w:b/>
          <w:i/>
          <w:color w:val="262626" w:themeColor="text1" w:themeTint="D9"/>
          <w:sz w:val="24"/>
          <w:szCs w:val="24"/>
          <w:u w:val="single"/>
        </w:rPr>
        <w:t xml:space="preserve">Super </w:t>
      </w:r>
      <w:r w:rsidR="008B4FA0" w:rsidRPr="00E44D19">
        <w:rPr>
          <w:b/>
          <w:color w:val="262626" w:themeColor="text1" w:themeTint="D9"/>
          <w:sz w:val="24"/>
          <w:szCs w:val="24"/>
          <w:u w:val="single"/>
        </w:rPr>
        <w:t>biodiesel</w:t>
      </w:r>
    </w:p>
    <w:p w14:paraId="7E9B7F23" w14:textId="77777777" w:rsidR="00D702E1" w:rsidRDefault="008B4FA0" w:rsidP="002178D6">
      <w:pPr>
        <w:pStyle w:val="ListParagraph"/>
        <w:numPr>
          <w:ilvl w:val="0"/>
          <w:numId w:val="6"/>
        </w:numPr>
        <w:spacing w:line="300" w:lineRule="auto"/>
        <w:rPr>
          <w:color w:val="262626" w:themeColor="text1" w:themeTint="D9"/>
        </w:rPr>
      </w:pPr>
      <w:r>
        <w:rPr>
          <w:color w:val="262626" w:themeColor="text1" w:themeTint="D9"/>
        </w:rPr>
        <w:t xml:space="preserve">Minimum 50% to </w:t>
      </w:r>
      <w:r w:rsidR="00D702E1" w:rsidRPr="00D702E1">
        <w:rPr>
          <w:color w:val="262626" w:themeColor="text1" w:themeTint="D9"/>
        </w:rPr>
        <w:t>6</w:t>
      </w:r>
      <w:r w:rsidR="00206839" w:rsidRPr="00D702E1">
        <w:rPr>
          <w:color w:val="262626" w:themeColor="text1" w:themeTint="D9"/>
        </w:rPr>
        <w:t>0% cleaner engine emissions</w:t>
      </w:r>
      <w:r w:rsidR="00033C72" w:rsidRPr="00D702E1">
        <w:rPr>
          <w:color w:val="262626" w:themeColor="text1" w:themeTint="D9"/>
        </w:rPr>
        <w:t xml:space="preserve"> </w:t>
      </w:r>
    </w:p>
    <w:p w14:paraId="2E694E36" w14:textId="77777777" w:rsidR="00246228" w:rsidRPr="00D702E1" w:rsidRDefault="008B4FA0" w:rsidP="002178D6">
      <w:pPr>
        <w:pStyle w:val="ListParagraph"/>
        <w:numPr>
          <w:ilvl w:val="0"/>
          <w:numId w:val="6"/>
        </w:numPr>
        <w:spacing w:line="300" w:lineRule="auto"/>
        <w:rPr>
          <w:color w:val="262626" w:themeColor="text1" w:themeTint="D9"/>
        </w:rPr>
      </w:pPr>
      <w:r>
        <w:rPr>
          <w:color w:val="262626" w:themeColor="text1" w:themeTint="D9"/>
        </w:rPr>
        <w:t>#2 conventional diesel easily b</w:t>
      </w:r>
      <w:r w:rsidR="00D702E1">
        <w:rPr>
          <w:color w:val="262626" w:themeColor="text1" w:themeTint="D9"/>
        </w:rPr>
        <w:t>lend</w:t>
      </w:r>
      <w:r>
        <w:rPr>
          <w:color w:val="262626" w:themeColor="text1" w:themeTint="D9"/>
        </w:rPr>
        <w:t xml:space="preserve">s with up to 20% </w:t>
      </w:r>
      <w:r w:rsidRPr="008B4FA0">
        <w:rPr>
          <w:i/>
          <w:color w:val="262626" w:themeColor="text1" w:themeTint="D9"/>
        </w:rPr>
        <w:t>Super</w:t>
      </w:r>
      <w:r>
        <w:rPr>
          <w:color w:val="262626" w:themeColor="text1" w:themeTint="D9"/>
        </w:rPr>
        <w:t xml:space="preserve"> biodiesel and</w:t>
      </w:r>
      <w:r w:rsidR="00206839" w:rsidRPr="00D702E1">
        <w:rPr>
          <w:color w:val="262626" w:themeColor="text1" w:themeTint="D9"/>
        </w:rPr>
        <w:t xml:space="preserve"> </w:t>
      </w:r>
      <w:r>
        <w:rPr>
          <w:color w:val="262626" w:themeColor="text1" w:themeTint="D9"/>
        </w:rPr>
        <w:t xml:space="preserve">can be used anywhere #2 diesel is used, even in colder climates </w:t>
      </w:r>
    </w:p>
    <w:p w14:paraId="18EA480F" w14:textId="77777777" w:rsidR="008B4FA0" w:rsidRDefault="008B4FA0" w:rsidP="00246228">
      <w:pPr>
        <w:pStyle w:val="ListParagraph"/>
        <w:numPr>
          <w:ilvl w:val="0"/>
          <w:numId w:val="6"/>
        </w:numPr>
        <w:spacing w:line="300" w:lineRule="auto"/>
        <w:rPr>
          <w:color w:val="262626" w:themeColor="text1" w:themeTint="D9"/>
        </w:rPr>
      </w:pPr>
      <w:r w:rsidRPr="008B4FA0">
        <w:rPr>
          <w:i/>
          <w:color w:val="262626" w:themeColor="text1" w:themeTint="D9"/>
        </w:rPr>
        <w:t>Super</w:t>
      </w:r>
      <w:r>
        <w:rPr>
          <w:color w:val="262626" w:themeColor="text1" w:themeTint="D9"/>
        </w:rPr>
        <w:t xml:space="preserve"> biodiesel has a h</w:t>
      </w:r>
      <w:r w:rsidR="000D0284" w:rsidRPr="00D702E1">
        <w:rPr>
          <w:color w:val="262626" w:themeColor="text1" w:themeTint="D9"/>
        </w:rPr>
        <w:t>igh</w:t>
      </w:r>
      <w:r>
        <w:rPr>
          <w:color w:val="262626" w:themeColor="text1" w:themeTint="D9"/>
        </w:rPr>
        <w:t>er</w:t>
      </w:r>
      <w:r w:rsidR="000D0284" w:rsidRPr="00D702E1">
        <w:rPr>
          <w:color w:val="262626" w:themeColor="text1" w:themeTint="D9"/>
        </w:rPr>
        <w:t xml:space="preserve"> cetane rating</w:t>
      </w:r>
      <w:r w:rsidR="00206839" w:rsidRPr="00D702E1">
        <w:rPr>
          <w:color w:val="262626" w:themeColor="text1" w:themeTint="D9"/>
        </w:rPr>
        <w:t xml:space="preserve"> </w:t>
      </w:r>
      <w:r w:rsidR="00B56A69" w:rsidRPr="00D702E1">
        <w:rPr>
          <w:color w:val="262626" w:themeColor="text1" w:themeTint="D9"/>
        </w:rPr>
        <w:t>(</w:t>
      </w:r>
      <w:r w:rsidR="002178D6">
        <w:rPr>
          <w:color w:val="262626" w:themeColor="text1" w:themeTint="D9"/>
        </w:rPr>
        <w:t>47</w:t>
      </w:r>
      <w:r>
        <w:rPr>
          <w:color w:val="262626" w:themeColor="text1" w:themeTint="D9"/>
        </w:rPr>
        <w:t>-</w:t>
      </w:r>
      <w:r w:rsidR="002178D6">
        <w:rPr>
          <w:color w:val="262626" w:themeColor="text1" w:themeTint="D9"/>
        </w:rPr>
        <w:t>55</w:t>
      </w:r>
      <w:r>
        <w:rPr>
          <w:color w:val="262626" w:themeColor="text1" w:themeTint="D9"/>
        </w:rPr>
        <w:t xml:space="preserve">) compared to #2 diesel. This higher rating </w:t>
      </w:r>
      <w:r w:rsidR="00B56A69" w:rsidRPr="00D702E1">
        <w:rPr>
          <w:color w:val="262626" w:themeColor="text1" w:themeTint="D9"/>
        </w:rPr>
        <w:t xml:space="preserve"> provid</w:t>
      </w:r>
      <w:r>
        <w:rPr>
          <w:color w:val="262626" w:themeColor="text1" w:themeTint="D9"/>
        </w:rPr>
        <w:t>es</w:t>
      </w:r>
      <w:r w:rsidR="00B56A69" w:rsidRPr="00D702E1">
        <w:rPr>
          <w:color w:val="262626" w:themeColor="text1" w:themeTint="D9"/>
        </w:rPr>
        <w:t xml:space="preserve"> </w:t>
      </w:r>
      <w:r w:rsidR="00206839" w:rsidRPr="00D702E1">
        <w:rPr>
          <w:color w:val="262626" w:themeColor="text1" w:themeTint="D9"/>
        </w:rPr>
        <w:t>better engine performance</w:t>
      </w:r>
      <w:r>
        <w:rPr>
          <w:color w:val="262626" w:themeColor="text1" w:themeTint="D9"/>
        </w:rPr>
        <w:t xml:space="preserve"> including easier starting </w:t>
      </w:r>
    </w:p>
    <w:p w14:paraId="6EDB2423" w14:textId="77777777" w:rsidR="00246228" w:rsidRPr="002178D6" w:rsidRDefault="008B4FA0" w:rsidP="00246228">
      <w:pPr>
        <w:pStyle w:val="ListParagraph"/>
        <w:numPr>
          <w:ilvl w:val="0"/>
          <w:numId w:val="6"/>
        </w:numPr>
        <w:spacing w:line="300" w:lineRule="auto"/>
        <w:rPr>
          <w:color w:val="262626" w:themeColor="text1" w:themeTint="D9"/>
        </w:rPr>
      </w:pPr>
      <w:r w:rsidRPr="008B4FA0">
        <w:rPr>
          <w:i/>
          <w:color w:val="262626" w:themeColor="text1" w:themeTint="D9"/>
        </w:rPr>
        <w:t>Super</w:t>
      </w:r>
      <w:r>
        <w:rPr>
          <w:color w:val="262626" w:themeColor="text1" w:themeTint="D9"/>
        </w:rPr>
        <w:t xml:space="preserve"> also adds lubricity to </w:t>
      </w:r>
      <w:r w:rsidR="0098036A">
        <w:rPr>
          <w:color w:val="262626" w:themeColor="text1" w:themeTint="D9"/>
        </w:rPr>
        <w:t xml:space="preserve">#2 diesel </w:t>
      </w:r>
      <w:r>
        <w:rPr>
          <w:color w:val="262626" w:themeColor="text1" w:themeTint="D9"/>
        </w:rPr>
        <w:t xml:space="preserve">fuel even when blending 5% </w:t>
      </w:r>
      <w:r w:rsidRPr="008B4FA0">
        <w:rPr>
          <w:i/>
          <w:color w:val="262626" w:themeColor="text1" w:themeTint="D9"/>
        </w:rPr>
        <w:t>Super</w:t>
      </w:r>
      <w:r w:rsidR="002178D6">
        <w:rPr>
          <w:i/>
          <w:color w:val="262626" w:themeColor="text1" w:themeTint="D9"/>
        </w:rPr>
        <w:t xml:space="preserve"> </w:t>
      </w:r>
      <w:r w:rsidR="002178D6" w:rsidRPr="002178D6">
        <w:rPr>
          <w:color w:val="262626" w:themeColor="text1" w:themeTint="D9"/>
        </w:rPr>
        <w:t>(</w:t>
      </w:r>
      <w:r w:rsidR="00F770E3">
        <w:rPr>
          <w:color w:val="262626" w:themeColor="text1" w:themeTint="D9"/>
        </w:rPr>
        <w:t xml:space="preserve">reason: </w:t>
      </w:r>
      <w:r w:rsidR="002178D6">
        <w:rPr>
          <w:color w:val="262626" w:themeColor="text1" w:themeTint="D9"/>
        </w:rPr>
        <w:t xml:space="preserve">to reduce pollution, </w:t>
      </w:r>
      <w:r w:rsidR="002178D6" w:rsidRPr="002178D6">
        <w:rPr>
          <w:color w:val="262626" w:themeColor="text1" w:themeTint="D9"/>
        </w:rPr>
        <w:t xml:space="preserve">sulfur </w:t>
      </w:r>
      <w:r w:rsidR="002178D6">
        <w:rPr>
          <w:color w:val="262626" w:themeColor="text1" w:themeTint="D9"/>
        </w:rPr>
        <w:t xml:space="preserve">was removed from </w:t>
      </w:r>
      <w:r w:rsidR="002178D6" w:rsidRPr="002178D6">
        <w:rPr>
          <w:color w:val="262626" w:themeColor="text1" w:themeTint="D9"/>
        </w:rPr>
        <w:t xml:space="preserve">#2 </w:t>
      </w:r>
      <w:r w:rsidR="00F770E3">
        <w:rPr>
          <w:color w:val="262626" w:themeColor="text1" w:themeTint="D9"/>
        </w:rPr>
        <w:t xml:space="preserve">diesel </w:t>
      </w:r>
      <w:r w:rsidR="002178D6">
        <w:rPr>
          <w:color w:val="262626" w:themeColor="text1" w:themeTint="D9"/>
        </w:rPr>
        <w:t xml:space="preserve">leaving the engine without proper lubrication) </w:t>
      </w:r>
      <w:r w:rsidR="002178D6" w:rsidRPr="002178D6">
        <w:rPr>
          <w:color w:val="262626" w:themeColor="text1" w:themeTint="D9"/>
        </w:rPr>
        <w:t xml:space="preserve"> </w:t>
      </w:r>
    </w:p>
    <w:p w14:paraId="680657DC" w14:textId="77777777" w:rsidR="002178D6" w:rsidRDefault="002178D6" w:rsidP="002178D6">
      <w:pPr>
        <w:pStyle w:val="ListParagraph"/>
        <w:numPr>
          <w:ilvl w:val="0"/>
          <w:numId w:val="6"/>
        </w:numPr>
        <w:spacing w:line="300" w:lineRule="auto"/>
        <w:rPr>
          <w:color w:val="262626" w:themeColor="text1" w:themeTint="D9"/>
        </w:rPr>
      </w:pPr>
      <w:r w:rsidRPr="002178D6">
        <w:rPr>
          <w:i/>
          <w:color w:val="262626" w:themeColor="text1" w:themeTint="D9"/>
        </w:rPr>
        <w:t>Super</w:t>
      </w:r>
      <w:r>
        <w:rPr>
          <w:color w:val="262626" w:themeColor="text1" w:themeTint="D9"/>
        </w:rPr>
        <w:t xml:space="preserve"> </w:t>
      </w:r>
      <w:r w:rsidR="00033C72" w:rsidRPr="008B4FA0">
        <w:rPr>
          <w:color w:val="262626" w:themeColor="text1" w:themeTint="D9"/>
        </w:rPr>
        <w:t xml:space="preserve">can process </w:t>
      </w:r>
      <w:r>
        <w:rPr>
          <w:color w:val="262626" w:themeColor="text1" w:themeTint="D9"/>
        </w:rPr>
        <w:t xml:space="preserve">feedstock </w:t>
      </w:r>
      <w:r w:rsidR="00033C72" w:rsidRPr="008B4FA0">
        <w:rPr>
          <w:color w:val="262626" w:themeColor="text1" w:themeTint="D9"/>
        </w:rPr>
        <w:t>oils with up to 100% free fatty acids</w:t>
      </w:r>
      <w:r w:rsidR="00631C8F" w:rsidRPr="008B4FA0">
        <w:rPr>
          <w:color w:val="262626" w:themeColor="text1" w:themeTint="D9"/>
        </w:rPr>
        <w:t xml:space="preserve"> (FFA)</w:t>
      </w:r>
      <w:r w:rsidR="00033C72" w:rsidRPr="008B4FA0">
        <w:rPr>
          <w:color w:val="262626" w:themeColor="text1" w:themeTint="D9"/>
        </w:rPr>
        <w:t>. 9</w:t>
      </w:r>
      <w:r w:rsidR="000D0284" w:rsidRPr="008B4FA0">
        <w:rPr>
          <w:color w:val="262626" w:themeColor="text1" w:themeTint="D9"/>
        </w:rPr>
        <w:t>8</w:t>
      </w:r>
      <w:r w:rsidR="00033C72" w:rsidRPr="008B4FA0">
        <w:rPr>
          <w:color w:val="262626" w:themeColor="text1" w:themeTint="D9"/>
        </w:rPr>
        <w:t xml:space="preserve">% of Biodiesel plants </w:t>
      </w:r>
      <w:r w:rsidR="00B30619">
        <w:rPr>
          <w:color w:val="262626" w:themeColor="text1" w:themeTint="D9"/>
        </w:rPr>
        <w:t xml:space="preserve">are </w:t>
      </w:r>
      <w:r w:rsidR="00B56A69" w:rsidRPr="008B4FA0">
        <w:rPr>
          <w:color w:val="262626" w:themeColor="text1" w:themeTint="D9"/>
        </w:rPr>
        <w:t>unable to</w:t>
      </w:r>
      <w:r w:rsidR="00033C72" w:rsidRPr="008B4FA0">
        <w:rPr>
          <w:color w:val="262626" w:themeColor="text1" w:themeTint="D9"/>
        </w:rPr>
        <w:t xml:space="preserve"> process </w:t>
      </w:r>
      <w:r w:rsidR="00631C8F" w:rsidRPr="008B4FA0">
        <w:rPr>
          <w:color w:val="262626" w:themeColor="text1" w:themeTint="D9"/>
        </w:rPr>
        <w:t>o</w:t>
      </w:r>
      <w:r w:rsidR="00033C72" w:rsidRPr="008B4FA0">
        <w:rPr>
          <w:color w:val="262626" w:themeColor="text1" w:themeTint="D9"/>
        </w:rPr>
        <w:t>ver 15% FFA</w:t>
      </w:r>
      <w:r w:rsidR="00F770E3">
        <w:rPr>
          <w:color w:val="262626" w:themeColor="text1" w:themeTint="D9"/>
        </w:rPr>
        <w:t xml:space="preserve"> and 52% can not process over 2% (</w:t>
      </w:r>
      <w:r w:rsidR="00B30619">
        <w:rPr>
          <w:color w:val="262626" w:themeColor="text1" w:themeTint="D9"/>
        </w:rPr>
        <w:t xml:space="preserve">i.e. </w:t>
      </w:r>
      <w:r w:rsidR="00F770E3">
        <w:rPr>
          <w:color w:val="262626" w:themeColor="text1" w:themeTint="D9"/>
        </w:rPr>
        <w:t>those using soy oil)</w:t>
      </w:r>
    </w:p>
    <w:p w14:paraId="56658A95" w14:textId="77777777" w:rsidR="00D67657" w:rsidRPr="002178D6" w:rsidRDefault="00E44D19" w:rsidP="002178D6">
      <w:pPr>
        <w:pStyle w:val="ListParagraph"/>
        <w:numPr>
          <w:ilvl w:val="0"/>
          <w:numId w:val="6"/>
        </w:numPr>
        <w:spacing w:line="300" w:lineRule="auto"/>
        <w:rPr>
          <w:color w:val="262626" w:themeColor="text1" w:themeTint="D9"/>
        </w:rPr>
      </w:pPr>
      <w:r>
        <w:rPr>
          <w:color w:val="262626" w:themeColor="text1" w:themeTint="D9"/>
        </w:rPr>
        <w:t>M</w:t>
      </w:r>
      <w:r w:rsidR="002178D6">
        <w:rPr>
          <w:color w:val="262626" w:themeColor="text1" w:themeTint="D9"/>
        </w:rPr>
        <w:t xml:space="preserve">anufacturers </w:t>
      </w:r>
      <w:r w:rsidR="00E01EDD">
        <w:rPr>
          <w:color w:val="262626" w:themeColor="text1" w:themeTint="D9"/>
        </w:rPr>
        <w:t xml:space="preserve">provide </w:t>
      </w:r>
      <w:r>
        <w:rPr>
          <w:color w:val="262626" w:themeColor="text1" w:themeTint="D9"/>
        </w:rPr>
        <w:t xml:space="preserve">standard </w:t>
      </w:r>
      <w:r w:rsidR="00E01EDD">
        <w:rPr>
          <w:color w:val="262626" w:themeColor="text1" w:themeTint="D9"/>
        </w:rPr>
        <w:t xml:space="preserve">vehicle </w:t>
      </w:r>
      <w:r w:rsidR="002178D6">
        <w:rPr>
          <w:color w:val="262626" w:themeColor="text1" w:themeTint="D9"/>
        </w:rPr>
        <w:t>warrant</w:t>
      </w:r>
      <w:r w:rsidR="00E01EDD">
        <w:rPr>
          <w:color w:val="262626" w:themeColor="text1" w:themeTint="D9"/>
        </w:rPr>
        <w:t>ies when</w:t>
      </w:r>
      <w:r w:rsidR="002178D6">
        <w:rPr>
          <w:color w:val="262626" w:themeColor="text1" w:themeTint="D9"/>
        </w:rPr>
        <w:t xml:space="preserve"> using up to </w:t>
      </w:r>
      <w:r>
        <w:rPr>
          <w:color w:val="262626" w:themeColor="text1" w:themeTint="D9"/>
        </w:rPr>
        <w:t>a 20</w:t>
      </w:r>
      <w:r w:rsidR="002178D6">
        <w:rPr>
          <w:color w:val="262626" w:themeColor="text1" w:themeTint="D9"/>
        </w:rPr>
        <w:t>% biodiesel</w:t>
      </w:r>
      <w:r w:rsidR="00D67657" w:rsidRPr="002178D6">
        <w:rPr>
          <w:color w:val="262626" w:themeColor="text1" w:themeTint="D9"/>
        </w:rPr>
        <w:t xml:space="preserve"> </w:t>
      </w:r>
      <w:r w:rsidR="002178D6">
        <w:rPr>
          <w:color w:val="262626" w:themeColor="text1" w:themeTint="D9"/>
        </w:rPr>
        <w:t>blend</w:t>
      </w:r>
      <w:r w:rsidR="00E01EDD">
        <w:rPr>
          <w:color w:val="262626" w:themeColor="text1" w:themeTint="D9"/>
        </w:rPr>
        <w:t>.</w:t>
      </w:r>
    </w:p>
    <w:p w14:paraId="1082530B" w14:textId="77777777" w:rsidR="00DF0FAC" w:rsidRPr="001302F6" w:rsidRDefault="00DF0FAC" w:rsidP="0027075C">
      <w:pPr>
        <w:spacing w:after="0" w:line="300" w:lineRule="auto"/>
        <w:rPr>
          <w:b/>
          <w:sz w:val="24"/>
          <w:szCs w:val="24"/>
          <w:u w:val="single"/>
        </w:rPr>
      </w:pPr>
      <w:r>
        <w:rPr>
          <w:b/>
          <w:sz w:val="24"/>
          <w:szCs w:val="24"/>
          <w:u w:val="single"/>
        </w:rPr>
        <w:t>Plant Deployment Strategy</w:t>
      </w:r>
    </w:p>
    <w:p w14:paraId="72B88976" w14:textId="77777777" w:rsidR="00E01EDD" w:rsidRDefault="00DF0FAC" w:rsidP="00DF0FAC">
      <w:pPr>
        <w:spacing w:line="300" w:lineRule="auto"/>
      </w:pPr>
      <w:r>
        <w:t xml:space="preserve">As </w:t>
      </w:r>
      <w:r w:rsidR="00246228">
        <w:t>indicated</w:t>
      </w:r>
      <w:r>
        <w:t xml:space="preserve">, </w:t>
      </w:r>
      <w:r w:rsidR="00924DA0">
        <w:t>the Company</w:t>
      </w:r>
      <w:r>
        <w:t xml:space="preserve"> will be comprised of </w:t>
      </w:r>
      <w:r w:rsidR="00E01EDD">
        <w:t xml:space="preserve">a holding company with </w:t>
      </w:r>
      <w:r w:rsidR="00E01EDD" w:rsidRPr="00E01EDD">
        <w:rPr>
          <w:i/>
        </w:rPr>
        <w:t>Super</w:t>
      </w:r>
      <w:r w:rsidR="00E01EDD">
        <w:t xml:space="preserve"> biodiesel plant owners </w:t>
      </w:r>
      <w:r>
        <w:t>bring</w:t>
      </w:r>
      <w:r w:rsidR="00E01EDD">
        <w:t>ing</w:t>
      </w:r>
      <w:r>
        <w:t xml:space="preserve"> their expertise</w:t>
      </w:r>
      <w:r w:rsidR="00246228">
        <w:t xml:space="preserve"> and certain assets</w:t>
      </w:r>
      <w:r w:rsidR="00E01EDD">
        <w:t xml:space="preserve"> for each new project</w:t>
      </w:r>
      <w:r w:rsidR="00246228">
        <w:t xml:space="preserve">. </w:t>
      </w:r>
      <w:r w:rsidR="00E01EDD">
        <w:t xml:space="preserve">However, to insure uniformity and the highest level of fuel quality </w:t>
      </w:r>
      <w:r w:rsidR="0018067B">
        <w:t>for</w:t>
      </w:r>
      <w:r w:rsidR="00E01EDD">
        <w:t xml:space="preserve"> the long-term, the Company will oversee: </w:t>
      </w:r>
    </w:p>
    <w:p w14:paraId="2C7E641C" w14:textId="77777777" w:rsidR="00233455" w:rsidRDefault="00631C8F" w:rsidP="00924149">
      <w:pPr>
        <w:pStyle w:val="ListParagraph"/>
        <w:numPr>
          <w:ilvl w:val="0"/>
          <w:numId w:val="5"/>
        </w:numPr>
        <w:spacing w:line="300" w:lineRule="auto"/>
      </w:pPr>
      <w:r>
        <w:t>System integration d</w:t>
      </w:r>
      <w:r w:rsidR="00DF0FAC">
        <w:t>esign</w:t>
      </w:r>
      <w:r>
        <w:t xml:space="preserve">, permits </w:t>
      </w:r>
      <w:r w:rsidR="00F25B0C">
        <w:t>. . . leading</w:t>
      </w:r>
      <w:r>
        <w:t xml:space="preserve"> to</w:t>
      </w:r>
      <w:r w:rsidR="00DF0FAC">
        <w:t xml:space="preserve"> </w:t>
      </w:r>
      <w:r w:rsidR="00F25B0C">
        <w:t xml:space="preserve">a </w:t>
      </w:r>
      <w:r w:rsidR="00DF0FAC">
        <w:t>complet</w:t>
      </w:r>
      <w:r>
        <w:t>ed</w:t>
      </w:r>
      <w:r w:rsidR="00DF0FAC">
        <w:t xml:space="preserve"> </w:t>
      </w:r>
      <w:r w:rsidR="0018067B">
        <w:t xml:space="preserve">commercial </w:t>
      </w:r>
      <w:r w:rsidR="00E01EDD" w:rsidRPr="00E01EDD">
        <w:rPr>
          <w:i/>
        </w:rPr>
        <w:t>Super</w:t>
      </w:r>
      <w:r w:rsidR="00DF0FAC">
        <w:t xml:space="preserve"> plant </w:t>
      </w:r>
    </w:p>
    <w:p w14:paraId="07D363E9" w14:textId="77777777" w:rsidR="00EF4558" w:rsidRDefault="00F25B0C" w:rsidP="00924149">
      <w:pPr>
        <w:pStyle w:val="ListParagraph"/>
        <w:numPr>
          <w:ilvl w:val="0"/>
          <w:numId w:val="5"/>
        </w:numPr>
        <w:spacing w:line="300" w:lineRule="auto"/>
      </w:pPr>
      <w:r>
        <w:t>Remote 7/24 plant operations oversight to insure processing integrity and fuel quality</w:t>
      </w:r>
    </w:p>
    <w:p w14:paraId="53AC9E09" w14:textId="77777777" w:rsidR="00E44144" w:rsidRDefault="00E01EDD" w:rsidP="00924149">
      <w:pPr>
        <w:pStyle w:val="ListParagraph"/>
        <w:numPr>
          <w:ilvl w:val="0"/>
          <w:numId w:val="5"/>
        </w:numPr>
        <w:spacing w:line="300" w:lineRule="auto"/>
      </w:pPr>
      <w:r>
        <w:t>Co-ordination for</w:t>
      </w:r>
      <w:r w:rsidR="00F25B0C">
        <w:t xml:space="preserve"> off-take agreements with p</w:t>
      </w:r>
      <w:r w:rsidR="00E44144">
        <w:t>etroleum</w:t>
      </w:r>
      <w:r w:rsidR="00443283">
        <w:t xml:space="preserve"> distributor</w:t>
      </w:r>
      <w:r w:rsidR="00F25B0C">
        <w:t>s</w:t>
      </w:r>
    </w:p>
    <w:p w14:paraId="2037A88C" w14:textId="77777777" w:rsidR="0018067B" w:rsidRDefault="00F25B0C" w:rsidP="006D10E5">
      <w:pPr>
        <w:pStyle w:val="ListParagraph"/>
        <w:numPr>
          <w:ilvl w:val="0"/>
          <w:numId w:val="5"/>
        </w:numPr>
        <w:spacing w:line="300" w:lineRule="auto"/>
      </w:pPr>
      <w:r>
        <w:t>Develop, p</w:t>
      </w:r>
      <w:r w:rsidR="00443283">
        <w:t>rovide</w:t>
      </w:r>
      <w:r>
        <w:t xml:space="preserve"> and manage feedstocks </w:t>
      </w:r>
      <w:r w:rsidR="00443283">
        <w:t>sources</w:t>
      </w:r>
      <w:r>
        <w:t xml:space="preserve"> and logistics</w:t>
      </w:r>
    </w:p>
    <w:p w14:paraId="1249BE35" w14:textId="77777777" w:rsidR="00EC1E03" w:rsidRDefault="00E01EDD" w:rsidP="00F25B0C">
      <w:pPr>
        <w:pStyle w:val="ListParagraph"/>
        <w:numPr>
          <w:ilvl w:val="0"/>
          <w:numId w:val="5"/>
        </w:numPr>
        <w:spacing w:line="300" w:lineRule="auto"/>
      </w:pPr>
      <w:r>
        <w:t xml:space="preserve">The Company will </w:t>
      </w:r>
      <w:r w:rsidR="0018067B">
        <w:t>support</w:t>
      </w:r>
      <w:r>
        <w:t xml:space="preserve"> a f</w:t>
      </w:r>
      <w:r w:rsidR="00F25B0C">
        <w:t>unding process for building additional plants</w:t>
      </w:r>
      <w:r w:rsidR="00443283">
        <w:t>.</w:t>
      </w:r>
      <w:r w:rsidR="00F4434D">
        <w:t xml:space="preserve"> </w:t>
      </w:r>
    </w:p>
    <w:p w14:paraId="3212A556" w14:textId="77777777" w:rsidR="0018067B" w:rsidRDefault="0018067B" w:rsidP="00F25B0C">
      <w:pPr>
        <w:spacing w:after="0" w:line="300" w:lineRule="auto"/>
        <w:rPr>
          <w:b/>
          <w:sz w:val="24"/>
          <w:szCs w:val="24"/>
          <w:u w:val="single"/>
        </w:rPr>
      </w:pPr>
    </w:p>
    <w:p w14:paraId="105DA2EC" w14:textId="77777777" w:rsidR="0018067B" w:rsidRDefault="0018067B" w:rsidP="00F25B0C">
      <w:pPr>
        <w:spacing w:after="0" w:line="300" w:lineRule="auto"/>
        <w:rPr>
          <w:b/>
          <w:sz w:val="24"/>
          <w:szCs w:val="24"/>
          <w:u w:val="single"/>
        </w:rPr>
      </w:pPr>
    </w:p>
    <w:p w14:paraId="17D2DC74" w14:textId="4010CA48" w:rsidR="00B30619" w:rsidRDefault="00B92D56" w:rsidP="00B30619">
      <w:pPr>
        <w:spacing w:line="300" w:lineRule="auto"/>
      </w:pPr>
      <w:r>
        <w:rPr>
          <w:b/>
          <w:sz w:val="24"/>
          <w:szCs w:val="24"/>
          <w:u w:val="single"/>
        </w:rPr>
        <w:br/>
      </w:r>
      <w:r w:rsidR="00B30619">
        <w:rPr>
          <w:b/>
          <w:sz w:val="24"/>
          <w:szCs w:val="24"/>
          <w:u w:val="single"/>
        </w:rPr>
        <w:t>Operations Overview</w:t>
      </w:r>
      <w:r w:rsidR="00B30619">
        <w:br/>
        <w:t xml:space="preserve">Regarding daily operations of plants. As noted, the Company will act as a sort of franchisor where the Company has real time, 24-hour oversight of each plants’ production process with ability to monitor the quality of fuel being produced using spectrometers to evaluate the liquids at any stage and remotely access the same screens as plant operators. This is designed to insure consistent fuel quality as well as monitor the actual performance of the equipment being used. It is also a back-up to insure the plant operators are operating reliably. </w:t>
      </w:r>
    </w:p>
    <w:p w14:paraId="733FE091" w14:textId="77777777" w:rsidR="00F25B0C" w:rsidRPr="001302F6" w:rsidRDefault="00F25B0C" w:rsidP="00F25B0C">
      <w:pPr>
        <w:spacing w:after="0" w:line="300" w:lineRule="auto"/>
        <w:rPr>
          <w:b/>
          <w:sz w:val="24"/>
          <w:szCs w:val="24"/>
          <w:u w:val="single"/>
        </w:rPr>
      </w:pPr>
      <w:r>
        <w:rPr>
          <w:b/>
          <w:sz w:val="24"/>
          <w:szCs w:val="24"/>
          <w:u w:val="single"/>
        </w:rPr>
        <w:t>Technology Development</w:t>
      </w:r>
    </w:p>
    <w:p w14:paraId="74971AA7" w14:textId="77777777" w:rsidR="00B63EB1" w:rsidRDefault="00443283" w:rsidP="00BC19D3">
      <w:pPr>
        <w:spacing w:after="240" w:line="300" w:lineRule="auto"/>
      </w:pPr>
      <w:r>
        <w:t xml:space="preserve">In three to </w:t>
      </w:r>
      <w:r w:rsidR="0018067B">
        <w:t>four</w:t>
      </w:r>
      <w:r>
        <w:t xml:space="preserve"> years</w:t>
      </w:r>
      <w:r w:rsidR="0018067B">
        <w:t>,</w:t>
      </w:r>
      <w:r>
        <w:t xml:space="preserve"> when cellulosic</w:t>
      </w:r>
      <w:r w:rsidR="0018067B">
        <w:t>-type</w:t>
      </w:r>
      <w:r>
        <w:t xml:space="preserve"> feedstocks are </w:t>
      </w:r>
      <w:r w:rsidR="0018067B">
        <w:t>more available,</w:t>
      </w:r>
      <w:r>
        <w:t xml:space="preserve"> plants will be </w:t>
      </w:r>
      <w:r w:rsidR="0018067B">
        <w:t xml:space="preserve">adapted to use these feedstock sources. Also, plants will be </w:t>
      </w:r>
      <w:r>
        <w:t xml:space="preserve">located close to the feedstocks rather than within the served markets </w:t>
      </w:r>
      <w:r w:rsidR="00F4434D">
        <w:t>primarily</w:t>
      </w:r>
      <w:r w:rsidR="00933E88">
        <w:t>,</w:t>
      </w:r>
      <w:r w:rsidR="00E44144">
        <w:t xml:space="preserve"> </w:t>
      </w:r>
      <w:r>
        <w:t xml:space="preserve">as the new feedstocks will be significantly more plentiful as trees and grasses </w:t>
      </w:r>
      <w:r w:rsidR="00F4434D">
        <w:t xml:space="preserve">etc. </w:t>
      </w:r>
      <w:r w:rsidR="00933E88">
        <w:t>are ubiquitous</w:t>
      </w:r>
      <w:r w:rsidR="0018067B">
        <w:t>.</w:t>
      </w:r>
      <w:r>
        <w:t xml:space="preserve"> </w:t>
      </w:r>
      <w:r w:rsidR="00B63EB1">
        <w:t xml:space="preserve">It is envisioned the Company would license, not internally develop, the process to convert cellulosic biomass into oils. </w:t>
      </w:r>
    </w:p>
    <w:p w14:paraId="63E65BCC" w14:textId="77777777" w:rsidR="00545415" w:rsidRDefault="005447DA" w:rsidP="009D3F80">
      <w:pPr>
        <w:spacing w:after="120"/>
      </w:pPr>
      <w:r>
        <w:rPr>
          <w:b/>
          <w:sz w:val="24"/>
          <w:szCs w:val="24"/>
          <w:u w:val="single"/>
        </w:rPr>
        <w:t>Production</w:t>
      </w:r>
      <w:r w:rsidR="00B63EB1">
        <w:rPr>
          <w:b/>
          <w:sz w:val="24"/>
          <w:szCs w:val="24"/>
          <w:u w:val="single"/>
        </w:rPr>
        <w:t xml:space="preserve"> Overview </w:t>
      </w:r>
      <w:r w:rsidR="00545415">
        <w:t xml:space="preserve">The table below provides a summary comparison of capex </w:t>
      </w:r>
      <w:r w:rsidR="00584A79">
        <w:t xml:space="preserve">and opex </w:t>
      </w:r>
      <w:r w:rsidR="00545415">
        <w:t xml:space="preserve">costs for Traditional </w:t>
      </w:r>
      <w:r w:rsidR="00BC19D3">
        <w:t>Bio</w:t>
      </w:r>
      <w:r w:rsidR="00B63EB1">
        <w:t>d</w:t>
      </w:r>
      <w:r w:rsidR="00545415">
        <w:t>iesel</w:t>
      </w:r>
      <w:r>
        <w:t xml:space="preserve"> vs</w:t>
      </w:r>
      <w:r w:rsidR="00545415">
        <w:t xml:space="preserve"> </w:t>
      </w:r>
      <w:r w:rsidR="00C529E5">
        <w:t>Jatro Renewables</w:t>
      </w:r>
      <w:r w:rsidR="00545415">
        <w:t xml:space="preserve">’s </w:t>
      </w:r>
      <w:r w:rsidR="00545415" w:rsidRPr="00584A79">
        <w:rPr>
          <w:i/>
        </w:rPr>
        <w:t xml:space="preserve">Supercritical </w:t>
      </w:r>
      <w:r w:rsidR="00B63EB1">
        <w:t>process</w:t>
      </w:r>
    </w:p>
    <w:tbl>
      <w:tblPr>
        <w:tblStyle w:val="GridTable5Dark-Accent6"/>
        <w:tblW w:w="9170" w:type="dxa"/>
        <w:tblLook w:val="04A0" w:firstRow="1" w:lastRow="0" w:firstColumn="1" w:lastColumn="0" w:noHBand="0" w:noVBand="1"/>
      </w:tblPr>
      <w:tblGrid>
        <w:gridCol w:w="2960"/>
        <w:gridCol w:w="3150"/>
        <w:gridCol w:w="3060"/>
      </w:tblGrid>
      <w:tr w:rsidR="0018067B" w:rsidRPr="009F78BA" w14:paraId="6C580CFF" w14:textId="77777777" w:rsidTr="006D10E5">
        <w:trPr>
          <w:cnfStyle w:val="100000000000" w:firstRow="1" w:lastRow="0" w:firstColumn="0" w:lastColumn="0" w:oddVBand="0" w:evenVBand="0" w:oddHBand="0"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2960" w:type="dxa"/>
            <w:hideMark/>
          </w:tcPr>
          <w:p w14:paraId="175C86F1" w14:textId="77777777" w:rsidR="0018067B" w:rsidRPr="006D10E5" w:rsidRDefault="0018067B" w:rsidP="009F78BA">
            <w:pPr>
              <w:spacing w:line="254" w:lineRule="auto"/>
              <w:ind w:firstLine="202"/>
              <w:jc w:val="center"/>
              <w:rPr>
                <w:rFonts w:eastAsia="Times New Roman" w:cs="Arial"/>
                <w:b w:val="0"/>
                <w:sz w:val="20"/>
                <w:szCs w:val="20"/>
              </w:rPr>
            </w:pPr>
            <w:r w:rsidRPr="006D10E5">
              <w:rPr>
                <w:rFonts w:eastAsia="Times New Roman" w:cs="Arial"/>
                <w:b w:val="0"/>
                <w:bCs w:val="0"/>
                <w:kern w:val="24"/>
                <w:sz w:val="20"/>
                <w:szCs w:val="20"/>
              </w:rPr>
              <w:br/>
            </w:r>
            <w:r w:rsidR="005447DA" w:rsidRPr="006D10E5">
              <w:rPr>
                <w:rFonts w:eastAsia="Times New Roman" w:cs="Arial"/>
                <w:b w:val="0"/>
                <w:bCs w:val="0"/>
                <w:kern w:val="24"/>
                <w:sz w:val="20"/>
                <w:szCs w:val="20"/>
              </w:rPr>
              <w:t xml:space="preserve">25mmgy Plant </w:t>
            </w:r>
            <w:r w:rsidRPr="006D10E5">
              <w:rPr>
                <w:rFonts w:eastAsia="Times New Roman" w:cs="Arial"/>
                <w:b w:val="0"/>
                <w:bCs w:val="0"/>
                <w:kern w:val="24"/>
                <w:sz w:val="20"/>
                <w:szCs w:val="20"/>
              </w:rPr>
              <w:t>Criteria</w:t>
            </w:r>
          </w:p>
        </w:tc>
        <w:tc>
          <w:tcPr>
            <w:tcW w:w="3150" w:type="dxa"/>
            <w:vAlign w:val="center"/>
            <w:hideMark/>
          </w:tcPr>
          <w:p w14:paraId="53B17942" w14:textId="77777777" w:rsidR="0018067B" w:rsidRPr="006D10E5" w:rsidRDefault="0018067B" w:rsidP="006D10E5">
            <w:pPr>
              <w:spacing w:line="254" w:lineRule="auto"/>
              <w:ind w:firstLine="202"/>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themeColor="light1"/>
                <w:kern w:val="24"/>
                <w:sz w:val="20"/>
                <w:szCs w:val="20"/>
              </w:rPr>
            </w:pPr>
            <w:r w:rsidRPr="006D10E5">
              <w:rPr>
                <w:rFonts w:eastAsia="Times New Roman" w:cs="Arial"/>
                <w:b w:val="0"/>
                <w:bCs w:val="0"/>
                <w:color w:val="FFFFFF" w:themeColor="light1"/>
                <w:kern w:val="24"/>
                <w:sz w:val="20"/>
                <w:szCs w:val="20"/>
              </w:rPr>
              <w:t>Traditional</w:t>
            </w:r>
          </w:p>
          <w:p w14:paraId="5A85AB2C" w14:textId="77777777" w:rsidR="0018067B" w:rsidRPr="006D10E5" w:rsidRDefault="0018067B" w:rsidP="006D10E5">
            <w:pPr>
              <w:spacing w:line="254" w:lineRule="auto"/>
              <w:ind w:firstLine="202"/>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20"/>
                <w:szCs w:val="20"/>
              </w:rPr>
            </w:pPr>
            <w:r w:rsidRPr="006D10E5">
              <w:rPr>
                <w:rFonts w:eastAsia="Times New Roman" w:cs="Arial"/>
                <w:b w:val="0"/>
                <w:bCs w:val="0"/>
                <w:smallCaps/>
                <w:color w:val="FFFFFF" w:themeColor="light1"/>
                <w:kern w:val="24"/>
                <w:sz w:val="20"/>
                <w:szCs w:val="20"/>
              </w:rPr>
              <w:t>BIODIESEL</w:t>
            </w:r>
          </w:p>
        </w:tc>
        <w:tc>
          <w:tcPr>
            <w:tcW w:w="3060" w:type="dxa"/>
            <w:vAlign w:val="center"/>
            <w:hideMark/>
          </w:tcPr>
          <w:p w14:paraId="55049ACA" w14:textId="77777777" w:rsidR="0018067B" w:rsidRPr="006D10E5" w:rsidRDefault="0018067B" w:rsidP="006D10E5">
            <w:pPr>
              <w:spacing w:line="254" w:lineRule="auto"/>
              <w:ind w:firstLine="202"/>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smallCaps/>
                <w:color w:val="FFFFFF" w:themeColor="light1"/>
                <w:kern w:val="24"/>
                <w:sz w:val="20"/>
                <w:szCs w:val="20"/>
              </w:rPr>
            </w:pPr>
            <w:r w:rsidRPr="006D10E5">
              <w:rPr>
                <w:rFonts w:eastAsia="Times New Roman" w:cs="Arial"/>
                <w:b w:val="0"/>
                <w:bCs w:val="0"/>
                <w:color w:val="FFFFFF" w:themeColor="light1"/>
                <w:kern w:val="24"/>
                <w:sz w:val="20"/>
                <w:szCs w:val="20"/>
              </w:rPr>
              <w:t>Supercritical</w:t>
            </w:r>
          </w:p>
          <w:p w14:paraId="2CB30F20" w14:textId="77777777" w:rsidR="0018067B" w:rsidRPr="006D10E5" w:rsidRDefault="0018067B" w:rsidP="006D10E5">
            <w:pPr>
              <w:spacing w:line="254" w:lineRule="auto"/>
              <w:ind w:firstLine="202"/>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20"/>
                <w:szCs w:val="20"/>
              </w:rPr>
            </w:pPr>
            <w:r w:rsidRPr="006D10E5">
              <w:rPr>
                <w:rFonts w:eastAsia="Times New Roman" w:cs="Arial"/>
                <w:b w:val="0"/>
                <w:bCs w:val="0"/>
                <w:smallCaps/>
                <w:color w:val="FFFFFF" w:themeColor="light1"/>
                <w:kern w:val="24"/>
                <w:sz w:val="20"/>
                <w:szCs w:val="20"/>
              </w:rPr>
              <w:t>BIODIESEL</w:t>
            </w:r>
          </w:p>
        </w:tc>
      </w:tr>
      <w:tr w:rsidR="0018067B" w:rsidRPr="009F78BA" w14:paraId="709DDB48" w14:textId="77777777" w:rsidTr="005447DA">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960" w:type="dxa"/>
            <w:shd w:val="clear" w:color="auto" w:fill="C5E0B3" w:themeFill="accent6" w:themeFillTint="66"/>
            <w:vAlign w:val="center"/>
            <w:hideMark/>
          </w:tcPr>
          <w:p w14:paraId="08F792B1" w14:textId="77777777" w:rsidR="0018067B" w:rsidRPr="005447DA" w:rsidRDefault="0018067B" w:rsidP="005447DA">
            <w:pPr>
              <w:spacing w:line="254" w:lineRule="auto"/>
              <w:ind w:firstLine="202"/>
              <w:rPr>
                <w:rFonts w:eastAsia="Times New Roman" w:cs="Arial"/>
                <w:color w:val="262626" w:themeColor="text1" w:themeTint="D9"/>
                <w:sz w:val="36"/>
                <w:szCs w:val="36"/>
              </w:rPr>
            </w:pPr>
            <w:r w:rsidRPr="005447DA">
              <w:rPr>
                <w:rFonts w:eastAsia="Times New Roman" w:cs="Arial"/>
                <w:color w:val="262626" w:themeColor="text1" w:themeTint="D9"/>
                <w:kern w:val="24"/>
                <w:sz w:val="20"/>
                <w:szCs w:val="20"/>
              </w:rPr>
              <w:t>Production/Year (gals)</w:t>
            </w:r>
          </w:p>
        </w:tc>
        <w:tc>
          <w:tcPr>
            <w:tcW w:w="3150" w:type="dxa"/>
            <w:vAlign w:val="center"/>
            <w:hideMark/>
          </w:tcPr>
          <w:p w14:paraId="1CC3541D" w14:textId="77777777" w:rsidR="0018067B" w:rsidRPr="005447DA" w:rsidRDefault="005447DA" w:rsidP="005447DA">
            <w:pPr>
              <w:spacing w:line="254" w:lineRule="auto"/>
              <w:ind w:firstLine="202"/>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262626" w:themeColor="text1" w:themeTint="D9"/>
                <w:sz w:val="36"/>
                <w:szCs w:val="36"/>
              </w:rPr>
            </w:pPr>
            <w:r>
              <w:rPr>
                <w:rFonts w:eastAsia="Times New Roman" w:cs="Arial"/>
                <w:b/>
                <w:color w:val="262626" w:themeColor="text1" w:themeTint="D9"/>
                <w:kern w:val="24"/>
                <w:sz w:val="20"/>
                <w:szCs w:val="20"/>
              </w:rPr>
              <w:t>25</w:t>
            </w:r>
            <w:r w:rsidR="0018067B" w:rsidRPr="005447DA">
              <w:rPr>
                <w:rFonts w:eastAsia="Times New Roman" w:cs="Arial"/>
                <w:b/>
                <w:color w:val="262626" w:themeColor="text1" w:themeTint="D9"/>
                <w:kern w:val="24"/>
                <w:sz w:val="20"/>
                <w:szCs w:val="20"/>
              </w:rPr>
              <w:t>,000,000</w:t>
            </w:r>
          </w:p>
        </w:tc>
        <w:tc>
          <w:tcPr>
            <w:tcW w:w="3060" w:type="dxa"/>
            <w:vAlign w:val="center"/>
            <w:hideMark/>
          </w:tcPr>
          <w:p w14:paraId="0C7E9EC6" w14:textId="77777777" w:rsidR="0018067B" w:rsidRPr="005447DA" w:rsidRDefault="005447DA" w:rsidP="005447DA">
            <w:pPr>
              <w:spacing w:line="254" w:lineRule="auto"/>
              <w:ind w:firstLine="202"/>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262626" w:themeColor="text1" w:themeTint="D9"/>
                <w:sz w:val="36"/>
                <w:szCs w:val="36"/>
              </w:rPr>
            </w:pPr>
            <w:r>
              <w:rPr>
                <w:rFonts w:eastAsia="Times New Roman" w:cs="Arial"/>
                <w:b/>
                <w:color w:val="262626" w:themeColor="text1" w:themeTint="D9"/>
                <w:kern w:val="24"/>
                <w:sz w:val="20"/>
                <w:szCs w:val="20"/>
              </w:rPr>
              <w:t>25</w:t>
            </w:r>
            <w:r w:rsidR="0018067B" w:rsidRPr="005447DA">
              <w:rPr>
                <w:rFonts w:eastAsia="Times New Roman" w:cs="Arial"/>
                <w:b/>
                <w:color w:val="262626" w:themeColor="text1" w:themeTint="D9"/>
                <w:kern w:val="24"/>
                <w:sz w:val="20"/>
                <w:szCs w:val="20"/>
              </w:rPr>
              <w:t>,000,000</w:t>
            </w:r>
          </w:p>
        </w:tc>
      </w:tr>
      <w:tr w:rsidR="0018067B" w:rsidRPr="009F78BA" w14:paraId="1894AC01" w14:textId="77777777" w:rsidTr="005447DA">
        <w:trPr>
          <w:trHeight w:val="298"/>
        </w:trPr>
        <w:tc>
          <w:tcPr>
            <w:cnfStyle w:val="001000000000" w:firstRow="0" w:lastRow="0" w:firstColumn="1" w:lastColumn="0" w:oddVBand="0" w:evenVBand="0" w:oddHBand="0" w:evenHBand="0" w:firstRowFirstColumn="0" w:firstRowLastColumn="0" w:lastRowFirstColumn="0" w:lastRowLastColumn="0"/>
            <w:tcW w:w="2960" w:type="dxa"/>
            <w:shd w:val="clear" w:color="auto" w:fill="C5E0B3" w:themeFill="accent6" w:themeFillTint="66"/>
            <w:vAlign w:val="center"/>
            <w:hideMark/>
          </w:tcPr>
          <w:p w14:paraId="72F252B0" w14:textId="77777777" w:rsidR="0018067B" w:rsidRPr="005447DA" w:rsidRDefault="0018067B" w:rsidP="005447DA">
            <w:pPr>
              <w:spacing w:line="254" w:lineRule="auto"/>
              <w:ind w:firstLine="202"/>
              <w:rPr>
                <w:rFonts w:eastAsia="Times New Roman" w:cs="Arial"/>
                <w:b w:val="0"/>
                <w:color w:val="262626" w:themeColor="text1" w:themeTint="D9"/>
                <w:sz w:val="36"/>
                <w:szCs w:val="36"/>
              </w:rPr>
            </w:pPr>
            <w:r w:rsidRPr="005447DA">
              <w:rPr>
                <w:rFonts w:eastAsia="Times New Roman" w:cs="Arial"/>
                <w:b w:val="0"/>
                <w:color w:val="262626" w:themeColor="text1" w:themeTint="D9"/>
                <w:kern w:val="24"/>
                <w:sz w:val="20"/>
                <w:szCs w:val="20"/>
              </w:rPr>
              <w:t>CAPEX</w:t>
            </w:r>
          </w:p>
        </w:tc>
        <w:tc>
          <w:tcPr>
            <w:tcW w:w="3150" w:type="dxa"/>
            <w:hideMark/>
          </w:tcPr>
          <w:p w14:paraId="555B1BC1" w14:textId="12863BEB" w:rsidR="0018067B" w:rsidRPr="00933E88" w:rsidRDefault="0018067B" w:rsidP="009F78BA">
            <w:pPr>
              <w:spacing w:line="254" w:lineRule="auto"/>
              <w:ind w:firstLine="202"/>
              <w:jc w:val="center"/>
              <w:cnfStyle w:val="000000000000" w:firstRow="0" w:lastRow="0" w:firstColumn="0" w:lastColumn="0" w:oddVBand="0" w:evenVBand="0" w:oddHBand="0" w:evenHBand="0" w:firstRowFirstColumn="0" w:firstRowLastColumn="0" w:lastRowFirstColumn="0" w:lastRowLastColumn="0"/>
              <w:rPr>
                <w:rFonts w:eastAsia="Times New Roman" w:cs="Arial"/>
                <w:sz w:val="36"/>
                <w:szCs w:val="36"/>
              </w:rPr>
            </w:pPr>
            <w:r w:rsidRPr="00933E88">
              <w:rPr>
                <w:rFonts w:eastAsia="Times New Roman" w:cs="Arial"/>
                <w:color w:val="000000" w:themeColor="dark1"/>
                <w:kern w:val="24"/>
                <w:sz w:val="20"/>
                <w:szCs w:val="20"/>
              </w:rPr>
              <w:t>$</w:t>
            </w:r>
            <w:r w:rsidR="00F45569">
              <w:rPr>
                <w:rFonts w:eastAsia="Times New Roman" w:cs="Arial"/>
                <w:color w:val="000000" w:themeColor="dark1"/>
                <w:kern w:val="24"/>
                <w:sz w:val="20"/>
                <w:szCs w:val="20"/>
              </w:rPr>
              <w:t>27</w:t>
            </w:r>
            <w:r w:rsidRPr="00933E88">
              <w:rPr>
                <w:rFonts w:eastAsia="Times New Roman" w:cs="Arial"/>
                <w:color w:val="000000" w:themeColor="dark1"/>
                <w:kern w:val="24"/>
                <w:sz w:val="20"/>
                <w:szCs w:val="20"/>
              </w:rPr>
              <w:t>,</w:t>
            </w:r>
            <w:r w:rsidR="00F45569">
              <w:rPr>
                <w:rFonts w:eastAsia="Times New Roman" w:cs="Arial"/>
                <w:color w:val="000000" w:themeColor="dark1"/>
                <w:kern w:val="24"/>
                <w:sz w:val="20"/>
                <w:szCs w:val="20"/>
              </w:rPr>
              <w:t>5</w:t>
            </w:r>
            <w:r w:rsidRPr="00933E88">
              <w:rPr>
                <w:rFonts w:eastAsia="Times New Roman" w:cs="Arial"/>
                <w:color w:val="000000" w:themeColor="dark1"/>
                <w:kern w:val="24"/>
                <w:sz w:val="20"/>
                <w:szCs w:val="20"/>
              </w:rPr>
              <w:t xml:space="preserve">00,000 </w:t>
            </w:r>
          </w:p>
        </w:tc>
        <w:tc>
          <w:tcPr>
            <w:tcW w:w="3060" w:type="dxa"/>
            <w:hideMark/>
          </w:tcPr>
          <w:p w14:paraId="234491A8" w14:textId="384F2268" w:rsidR="0018067B" w:rsidRPr="00933E88" w:rsidRDefault="0018067B" w:rsidP="009F78BA">
            <w:pPr>
              <w:spacing w:line="254" w:lineRule="auto"/>
              <w:ind w:firstLine="202"/>
              <w:jc w:val="center"/>
              <w:cnfStyle w:val="000000000000" w:firstRow="0" w:lastRow="0" w:firstColumn="0" w:lastColumn="0" w:oddVBand="0" w:evenVBand="0" w:oddHBand="0" w:evenHBand="0" w:firstRowFirstColumn="0" w:firstRowLastColumn="0" w:lastRowFirstColumn="0" w:lastRowLastColumn="0"/>
              <w:rPr>
                <w:rFonts w:eastAsia="Times New Roman" w:cs="Arial"/>
                <w:sz w:val="36"/>
                <w:szCs w:val="36"/>
              </w:rPr>
            </w:pPr>
            <w:r w:rsidRPr="00933E88">
              <w:rPr>
                <w:rFonts w:eastAsia="Times New Roman" w:cs="Arial"/>
                <w:color w:val="000000" w:themeColor="dark1"/>
                <w:kern w:val="24"/>
                <w:sz w:val="20"/>
                <w:szCs w:val="20"/>
              </w:rPr>
              <w:t>$</w:t>
            </w:r>
            <w:r w:rsidR="005447DA">
              <w:rPr>
                <w:rFonts w:eastAsia="Times New Roman" w:cs="Arial"/>
                <w:color w:val="000000" w:themeColor="dark1"/>
                <w:kern w:val="24"/>
                <w:sz w:val="20"/>
                <w:szCs w:val="20"/>
              </w:rPr>
              <w:t>3</w:t>
            </w:r>
            <w:r w:rsidR="00F45569">
              <w:rPr>
                <w:rFonts w:eastAsia="Times New Roman" w:cs="Arial"/>
                <w:color w:val="000000" w:themeColor="dark1"/>
                <w:kern w:val="24"/>
                <w:sz w:val="20"/>
                <w:szCs w:val="20"/>
              </w:rPr>
              <w:t>0</w:t>
            </w:r>
            <w:r w:rsidRPr="00933E88">
              <w:rPr>
                <w:rFonts w:eastAsia="Times New Roman" w:cs="Arial"/>
                <w:color w:val="000000" w:themeColor="dark1"/>
                <w:kern w:val="24"/>
                <w:sz w:val="20"/>
                <w:szCs w:val="20"/>
              </w:rPr>
              <w:t xml:space="preserve">,000,000 </w:t>
            </w:r>
          </w:p>
        </w:tc>
      </w:tr>
      <w:tr w:rsidR="0018067B" w:rsidRPr="009F78BA" w14:paraId="21818B04" w14:textId="77777777" w:rsidTr="005447DA">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960" w:type="dxa"/>
            <w:shd w:val="clear" w:color="auto" w:fill="C5E0B3" w:themeFill="accent6" w:themeFillTint="66"/>
            <w:vAlign w:val="center"/>
            <w:hideMark/>
          </w:tcPr>
          <w:p w14:paraId="1A977144" w14:textId="77777777" w:rsidR="0018067B" w:rsidRPr="005447DA" w:rsidRDefault="0018067B" w:rsidP="005447DA">
            <w:pPr>
              <w:spacing w:line="254" w:lineRule="auto"/>
              <w:ind w:firstLine="202"/>
              <w:rPr>
                <w:rFonts w:eastAsia="Times New Roman" w:cs="Arial"/>
                <w:b w:val="0"/>
                <w:color w:val="262626" w:themeColor="text1" w:themeTint="D9"/>
                <w:sz w:val="36"/>
                <w:szCs w:val="36"/>
              </w:rPr>
            </w:pPr>
            <w:r w:rsidRPr="005447DA">
              <w:rPr>
                <w:rFonts w:eastAsia="Calibri" w:cs="Times New Roman"/>
                <w:b w:val="0"/>
                <w:color w:val="262626" w:themeColor="text1" w:themeTint="D9"/>
                <w:kern w:val="24"/>
                <w:sz w:val="20"/>
                <w:szCs w:val="20"/>
              </w:rPr>
              <w:t>Cost Per Nameplate Gal.</w:t>
            </w:r>
          </w:p>
        </w:tc>
        <w:tc>
          <w:tcPr>
            <w:tcW w:w="3150" w:type="dxa"/>
            <w:vAlign w:val="center"/>
            <w:hideMark/>
          </w:tcPr>
          <w:p w14:paraId="3EE0FB72" w14:textId="3D3F2AEC" w:rsidR="0018067B" w:rsidRPr="0018067B" w:rsidRDefault="0018067B" w:rsidP="005447DA">
            <w:pPr>
              <w:spacing w:line="254" w:lineRule="auto"/>
              <w:ind w:firstLine="202"/>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62626" w:themeColor="text1" w:themeTint="D9"/>
                <w:sz w:val="36"/>
                <w:szCs w:val="36"/>
              </w:rPr>
            </w:pPr>
            <w:r w:rsidRPr="0018067B">
              <w:rPr>
                <w:rFonts w:eastAsia="Calibri" w:cs="Times New Roman"/>
                <w:color w:val="262626" w:themeColor="text1" w:themeTint="D9"/>
                <w:kern w:val="24"/>
                <w:sz w:val="20"/>
                <w:szCs w:val="20"/>
              </w:rPr>
              <w:t>$1.</w:t>
            </w:r>
            <w:r w:rsidR="00B71E8C">
              <w:rPr>
                <w:rFonts w:eastAsia="Calibri" w:cs="Times New Roman"/>
                <w:color w:val="262626" w:themeColor="text1" w:themeTint="D9"/>
                <w:kern w:val="24"/>
                <w:sz w:val="20"/>
                <w:szCs w:val="20"/>
              </w:rPr>
              <w:t>1</w:t>
            </w:r>
            <w:r w:rsidRPr="0018067B">
              <w:rPr>
                <w:rFonts w:eastAsia="Calibri" w:cs="Times New Roman"/>
                <w:color w:val="262626" w:themeColor="text1" w:themeTint="D9"/>
                <w:kern w:val="24"/>
                <w:sz w:val="20"/>
                <w:szCs w:val="20"/>
              </w:rPr>
              <w:t>0</w:t>
            </w:r>
          </w:p>
        </w:tc>
        <w:tc>
          <w:tcPr>
            <w:tcW w:w="3060" w:type="dxa"/>
            <w:vAlign w:val="center"/>
            <w:hideMark/>
          </w:tcPr>
          <w:p w14:paraId="581B11AA" w14:textId="7817D507" w:rsidR="0018067B" w:rsidRPr="0018067B" w:rsidRDefault="0018067B" w:rsidP="005447DA">
            <w:pPr>
              <w:spacing w:line="254" w:lineRule="auto"/>
              <w:ind w:firstLine="202"/>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62626" w:themeColor="text1" w:themeTint="D9"/>
                <w:sz w:val="36"/>
                <w:szCs w:val="36"/>
              </w:rPr>
            </w:pPr>
            <w:r w:rsidRPr="0018067B">
              <w:rPr>
                <w:rFonts w:eastAsia="Calibri" w:cs="Times New Roman"/>
                <w:color w:val="262626" w:themeColor="text1" w:themeTint="D9"/>
                <w:kern w:val="24"/>
                <w:sz w:val="20"/>
                <w:szCs w:val="20"/>
              </w:rPr>
              <w:t>$1.</w:t>
            </w:r>
            <w:r w:rsidR="00B71E8C">
              <w:rPr>
                <w:rFonts w:eastAsia="Calibri" w:cs="Times New Roman"/>
                <w:color w:val="262626" w:themeColor="text1" w:themeTint="D9"/>
                <w:kern w:val="24"/>
                <w:sz w:val="20"/>
                <w:szCs w:val="20"/>
              </w:rPr>
              <w:t>2</w:t>
            </w:r>
            <w:r w:rsidR="00584A79">
              <w:rPr>
                <w:rFonts w:eastAsia="Calibri" w:cs="Times New Roman"/>
                <w:color w:val="262626" w:themeColor="text1" w:themeTint="D9"/>
                <w:kern w:val="24"/>
                <w:sz w:val="20"/>
                <w:szCs w:val="20"/>
              </w:rPr>
              <w:t>0</w:t>
            </w:r>
          </w:p>
        </w:tc>
      </w:tr>
      <w:tr w:rsidR="0018067B" w:rsidRPr="009F78BA" w14:paraId="66C0E1E6" w14:textId="77777777" w:rsidTr="005447DA">
        <w:trPr>
          <w:trHeight w:val="307"/>
        </w:trPr>
        <w:tc>
          <w:tcPr>
            <w:cnfStyle w:val="001000000000" w:firstRow="0" w:lastRow="0" w:firstColumn="1" w:lastColumn="0" w:oddVBand="0" w:evenVBand="0" w:oddHBand="0" w:evenHBand="0" w:firstRowFirstColumn="0" w:firstRowLastColumn="0" w:lastRowFirstColumn="0" w:lastRowLastColumn="0"/>
            <w:tcW w:w="2960" w:type="dxa"/>
            <w:shd w:val="clear" w:color="auto" w:fill="C5E0B3" w:themeFill="accent6" w:themeFillTint="66"/>
            <w:vAlign w:val="center"/>
            <w:hideMark/>
          </w:tcPr>
          <w:p w14:paraId="01BECD48" w14:textId="77777777" w:rsidR="0018067B" w:rsidRPr="005447DA" w:rsidRDefault="0018067B" w:rsidP="005447DA">
            <w:pPr>
              <w:spacing w:line="254" w:lineRule="auto"/>
              <w:ind w:firstLine="202"/>
              <w:rPr>
                <w:rFonts w:eastAsia="Times New Roman" w:cs="Arial"/>
                <w:b w:val="0"/>
                <w:color w:val="262626" w:themeColor="text1" w:themeTint="D9"/>
                <w:sz w:val="36"/>
                <w:szCs w:val="36"/>
              </w:rPr>
            </w:pPr>
            <w:r w:rsidRPr="005447DA">
              <w:rPr>
                <w:rFonts w:eastAsia="Times New Roman" w:cs="Arial"/>
                <w:b w:val="0"/>
                <w:color w:val="262626" w:themeColor="text1" w:themeTint="D9"/>
                <w:kern w:val="24"/>
                <w:sz w:val="20"/>
                <w:szCs w:val="20"/>
              </w:rPr>
              <w:t>Feedstock/lb (dlvd)</w:t>
            </w:r>
          </w:p>
        </w:tc>
        <w:tc>
          <w:tcPr>
            <w:tcW w:w="3150" w:type="dxa"/>
            <w:vAlign w:val="center"/>
            <w:hideMark/>
          </w:tcPr>
          <w:p w14:paraId="0FD5F8CF" w14:textId="77777777" w:rsidR="0018067B" w:rsidRPr="0018067B" w:rsidRDefault="0018067B" w:rsidP="005447DA">
            <w:pPr>
              <w:spacing w:line="254" w:lineRule="auto"/>
              <w:ind w:firstLine="202"/>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62626" w:themeColor="text1" w:themeTint="D9"/>
                <w:sz w:val="36"/>
                <w:szCs w:val="36"/>
              </w:rPr>
            </w:pPr>
            <w:r w:rsidRPr="0018067B">
              <w:rPr>
                <w:rFonts w:eastAsia="Times New Roman" w:cs="Arial"/>
                <w:color w:val="262626" w:themeColor="text1" w:themeTint="D9"/>
                <w:kern w:val="24"/>
                <w:sz w:val="20"/>
                <w:szCs w:val="20"/>
              </w:rPr>
              <w:t>$0.28</w:t>
            </w:r>
          </w:p>
        </w:tc>
        <w:tc>
          <w:tcPr>
            <w:tcW w:w="3060" w:type="dxa"/>
            <w:vAlign w:val="center"/>
            <w:hideMark/>
          </w:tcPr>
          <w:p w14:paraId="1EB6D2C7" w14:textId="65E1CD0E" w:rsidR="0018067B" w:rsidRPr="0018067B" w:rsidRDefault="0018067B" w:rsidP="005447DA">
            <w:pPr>
              <w:spacing w:line="254" w:lineRule="auto"/>
              <w:ind w:firstLine="202"/>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62626" w:themeColor="text1" w:themeTint="D9"/>
                <w:sz w:val="36"/>
                <w:szCs w:val="36"/>
              </w:rPr>
            </w:pPr>
            <w:r w:rsidRPr="0018067B">
              <w:rPr>
                <w:rFonts w:eastAsia="Times New Roman" w:cs="Arial"/>
                <w:color w:val="262626" w:themeColor="text1" w:themeTint="D9"/>
                <w:kern w:val="24"/>
                <w:sz w:val="20"/>
                <w:szCs w:val="20"/>
              </w:rPr>
              <w:t>0.2</w:t>
            </w:r>
            <w:r w:rsidR="00F45569">
              <w:rPr>
                <w:rFonts w:eastAsia="Times New Roman" w:cs="Arial"/>
                <w:color w:val="262626" w:themeColor="text1" w:themeTint="D9"/>
                <w:kern w:val="24"/>
                <w:sz w:val="20"/>
                <w:szCs w:val="20"/>
              </w:rPr>
              <w:t>5</w:t>
            </w:r>
            <w:r w:rsidR="009D3F80">
              <w:rPr>
                <w:rFonts w:eastAsia="Times New Roman" w:cs="Arial"/>
                <w:color w:val="262626" w:themeColor="text1" w:themeTint="D9"/>
                <w:kern w:val="24"/>
                <w:sz w:val="20"/>
                <w:szCs w:val="20"/>
              </w:rPr>
              <w:br/>
              <w:t xml:space="preserve"> </w:t>
            </w:r>
            <w:r w:rsidR="009D3F80" w:rsidRPr="009D3F80">
              <w:rPr>
                <w:rFonts w:eastAsia="Times New Roman" w:cs="Arial"/>
                <w:i/>
                <w:color w:val="262626" w:themeColor="text1" w:themeTint="D9"/>
                <w:kern w:val="24"/>
                <w:sz w:val="16"/>
                <w:szCs w:val="16"/>
              </w:rPr>
              <w:t xml:space="preserve">(using </w:t>
            </w:r>
            <w:r w:rsidR="00F45569">
              <w:rPr>
                <w:rFonts w:eastAsia="Times New Roman" w:cs="Arial"/>
                <w:i/>
                <w:color w:val="262626" w:themeColor="text1" w:themeTint="D9"/>
                <w:kern w:val="24"/>
                <w:sz w:val="16"/>
                <w:szCs w:val="16"/>
              </w:rPr>
              <w:t>22</w:t>
            </w:r>
            <w:r w:rsidR="009D3F80" w:rsidRPr="009D3F80">
              <w:rPr>
                <w:rFonts w:eastAsia="Times New Roman" w:cs="Arial"/>
                <w:i/>
                <w:color w:val="262626" w:themeColor="text1" w:themeTint="D9"/>
                <w:kern w:val="24"/>
                <w:sz w:val="16"/>
                <w:szCs w:val="16"/>
              </w:rPr>
              <w:t>% low FFA feedstock</w:t>
            </w:r>
            <w:r w:rsidR="009D3F80">
              <w:rPr>
                <w:rFonts w:eastAsia="Times New Roman" w:cs="Arial"/>
                <w:i/>
                <w:color w:val="262626" w:themeColor="text1" w:themeTint="D9"/>
                <w:kern w:val="24"/>
                <w:sz w:val="16"/>
                <w:szCs w:val="16"/>
              </w:rPr>
              <w:t>)</w:t>
            </w:r>
          </w:p>
        </w:tc>
      </w:tr>
      <w:tr w:rsidR="0018067B" w:rsidRPr="009F78BA" w14:paraId="2E81C8FA" w14:textId="77777777" w:rsidTr="005447D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960" w:type="dxa"/>
            <w:shd w:val="clear" w:color="auto" w:fill="C5E0B3" w:themeFill="accent6" w:themeFillTint="66"/>
            <w:vAlign w:val="center"/>
            <w:hideMark/>
          </w:tcPr>
          <w:p w14:paraId="10A72AF2" w14:textId="77777777" w:rsidR="0018067B" w:rsidRPr="005447DA" w:rsidRDefault="0018067B" w:rsidP="005447DA">
            <w:pPr>
              <w:spacing w:line="254" w:lineRule="auto"/>
              <w:ind w:firstLine="202"/>
              <w:rPr>
                <w:rFonts w:eastAsia="Times New Roman" w:cs="Arial"/>
                <w:b w:val="0"/>
                <w:color w:val="262626" w:themeColor="text1" w:themeTint="D9"/>
                <w:sz w:val="36"/>
                <w:szCs w:val="36"/>
              </w:rPr>
            </w:pPr>
            <w:r w:rsidRPr="005447DA">
              <w:rPr>
                <w:rFonts w:eastAsia="Times New Roman" w:cs="Arial"/>
                <w:b w:val="0"/>
                <w:color w:val="262626" w:themeColor="text1" w:themeTint="D9"/>
                <w:kern w:val="24"/>
                <w:sz w:val="20"/>
                <w:szCs w:val="20"/>
              </w:rPr>
              <w:t>Feedstock/gal</w:t>
            </w:r>
          </w:p>
        </w:tc>
        <w:tc>
          <w:tcPr>
            <w:tcW w:w="3150" w:type="dxa"/>
            <w:vAlign w:val="center"/>
            <w:hideMark/>
          </w:tcPr>
          <w:p w14:paraId="78273916" w14:textId="77777777" w:rsidR="0018067B" w:rsidRPr="0018067B" w:rsidRDefault="0018067B" w:rsidP="005447DA">
            <w:pPr>
              <w:spacing w:line="254" w:lineRule="auto"/>
              <w:ind w:firstLine="202"/>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62626" w:themeColor="text1" w:themeTint="D9"/>
                <w:sz w:val="36"/>
                <w:szCs w:val="36"/>
              </w:rPr>
            </w:pPr>
            <w:r w:rsidRPr="0018067B">
              <w:rPr>
                <w:rFonts w:eastAsia="Times New Roman" w:cs="Arial"/>
                <w:color w:val="262626" w:themeColor="text1" w:themeTint="D9"/>
                <w:kern w:val="24"/>
                <w:sz w:val="20"/>
                <w:szCs w:val="20"/>
              </w:rPr>
              <w:t>$2.10</w:t>
            </w:r>
          </w:p>
        </w:tc>
        <w:tc>
          <w:tcPr>
            <w:tcW w:w="3060" w:type="dxa"/>
            <w:vAlign w:val="center"/>
            <w:hideMark/>
          </w:tcPr>
          <w:p w14:paraId="13C60385" w14:textId="77777777" w:rsidR="0018067B" w:rsidRPr="0018067B" w:rsidRDefault="0018067B" w:rsidP="005447DA">
            <w:pPr>
              <w:spacing w:line="254" w:lineRule="auto"/>
              <w:ind w:firstLine="202"/>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62626" w:themeColor="text1" w:themeTint="D9"/>
                <w:sz w:val="36"/>
                <w:szCs w:val="36"/>
              </w:rPr>
            </w:pPr>
            <w:r w:rsidRPr="0018067B">
              <w:rPr>
                <w:rFonts w:eastAsia="Times New Roman" w:cs="Arial"/>
                <w:color w:val="262626" w:themeColor="text1" w:themeTint="D9"/>
                <w:kern w:val="24"/>
                <w:sz w:val="20"/>
                <w:szCs w:val="20"/>
              </w:rPr>
              <w:t>1.89</w:t>
            </w:r>
          </w:p>
        </w:tc>
      </w:tr>
      <w:tr w:rsidR="0018067B" w:rsidRPr="009F78BA" w14:paraId="682B9121" w14:textId="77777777" w:rsidTr="005447DA">
        <w:trPr>
          <w:trHeight w:val="325"/>
        </w:trPr>
        <w:tc>
          <w:tcPr>
            <w:cnfStyle w:val="001000000000" w:firstRow="0" w:lastRow="0" w:firstColumn="1" w:lastColumn="0" w:oddVBand="0" w:evenVBand="0" w:oddHBand="0" w:evenHBand="0" w:firstRowFirstColumn="0" w:firstRowLastColumn="0" w:lastRowFirstColumn="0" w:lastRowLastColumn="0"/>
            <w:tcW w:w="2960" w:type="dxa"/>
            <w:shd w:val="clear" w:color="auto" w:fill="C5E0B3" w:themeFill="accent6" w:themeFillTint="66"/>
            <w:vAlign w:val="center"/>
            <w:hideMark/>
          </w:tcPr>
          <w:p w14:paraId="4407F97C" w14:textId="77777777" w:rsidR="0018067B" w:rsidRPr="005447DA" w:rsidRDefault="0018067B" w:rsidP="005447DA">
            <w:pPr>
              <w:spacing w:line="254" w:lineRule="auto"/>
              <w:ind w:firstLine="202"/>
              <w:rPr>
                <w:rFonts w:eastAsia="Times New Roman" w:cs="Arial"/>
                <w:b w:val="0"/>
                <w:color w:val="262626" w:themeColor="text1" w:themeTint="D9"/>
                <w:sz w:val="36"/>
                <w:szCs w:val="36"/>
              </w:rPr>
            </w:pPr>
            <w:r w:rsidRPr="005447DA">
              <w:rPr>
                <w:rFonts w:eastAsia="Times New Roman" w:cs="Arial"/>
                <w:b w:val="0"/>
                <w:color w:val="262626" w:themeColor="text1" w:themeTint="D9"/>
                <w:kern w:val="24"/>
                <w:sz w:val="20"/>
                <w:szCs w:val="20"/>
              </w:rPr>
              <w:t>Operations</w:t>
            </w:r>
          </w:p>
        </w:tc>
        <w:tc>
          <w:tcPr>
            <w:tcW w:w="3150" w:type="dxa"/>
            <w:vAlign w:val="center"/>
            <w:hideMark/>
          </w:tcPr>
          <w:p w14:paraId="00FADBA6" w14:textId="77777777" w:rsidR="0018067B" w:rsidRPr="0018067B" w:rsidRDefault="0018067B" w:rsidP="005447DA">
            <w:pPr>
              <w:spacing w:line="254" w:lineRule="auto"/>
              <w:ind w:firstLine="202"/>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62626" w:themeColor="text1" w:themeTint="D9"/>
                <w:sz w:val="36"/>
                <w:szCs w:val="36"/>
              </w:rPr>
            </w:pPr>
            <w:r w:rsidRPr="0018067B">
              <w:rPr>
                <w:rFonts w:eastAsia="Times New Roman" w:cs="Arial"/>
                <w:color w:val="262626" w:themeColor="text1" w:themeTint="D9"/>
                <w:kern w:val="24"/>
                <w:sz w:val="20"/>
                <w:szCs w:val="20"/>
              </w:rPr>
              <w:t>$0.67</w:t>
            </w:r>
          </w:p>
        </w:tc>
        <w:tc>
          <w:tcPr>
            <w:tcW w:w="3060" w:type="dxa"/>
            <w:vAlign w:val="center"/>
            <w:hideMark/>
          </w:tcPr>
          <w:p w14:paraId="32C91B5D" w14:textId="77777777" w:rsidR="0018067B" w:rsidRPr="0018067B" w:rsidRDefault="0018067B" w:rsidP="005447DA">
            <w:pPr>
              <w:spacing w:line="254" w:lineRule="auto"/>
              <w:ind w:firstLine="202"/>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62626" w:themeColor="text1" w:themeTint="D9"/>
                <w:sz w:val="36"/>
                <w:szCs w:val="36"/>
              </w:rPr>
            </w:pPr>
            <w:r w:rsidRPr="0018067B">
              <w:rPr>
                <w:rFonts w:eastAsia="Times New Roman" w:cs="Arial"/>
                <w:color w:val="262626" w:themeColor="text1" w:themeTint="D9"/>
                <w:kern w:val="24"/>
                <w:sz w:val="20"/>
                <w:szCs w:val="20"/>
              </w:rPr>
              <w:t>0.47</w:t>
            </w:r>
          </w:p>
        </w:tc>
      </w:tr>
      <w:tr w:rsidR="0018067B" w:rsidRPr="009F78BA" w14:paraId="069F0A9B" w14:textId="77777777" w:rsidTr="005447D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60" w:type="dxa"/>
            <w:shd w:val="clear" w:color="auto" w:fill="C5E0B3" w:themeFill="accent6" w:themeFillTint="66"/>
            <w:vAlign w:val="center"/>
            <w:hideMark/>
          </w:tcPr>
          <w:p w14:paraId="6A6B9C3B" w14:textId="77777777" w:rsidR="0018067B" w:rsidRPr="005447DA" w:rsidRDefault="0018067B" w:rsidP="005447DA">
            <w:pPr>
              <w:spacing w:line="254" w:lineRule="auto"/>
              <w:ind w:firstLine="202"/>
              <w:rPr>
                <w:rFonts w:eastAsia="Times New Roman" w:cs="Arial"/>
                <w:color w:val="262626" w:themeColor="text1" w:themeTint="D9"/>
                <w:sz w:val="36"/>
                <w:szCs w:val="36"/>
              </w:rPr>
            </w:pPr>
            <w:r w:rsidRPr="005447DA">
              <w:rPr>
                <w:rFonts w:eastAsia="Times New Roman" w:cs="Arial"/>
                <w:color w:val="262626" w:themeColor="text1" w:themeTint="D9"/>
                <w:kern w:val="24"/>
                <w:sz w:val="20"/>
                <w:szCs w:val="20"/>
              </w:rPr>
              <w:t>Total Cost</w:t>
            </w:r>
          </w:p>
        </w:tc>
        <w:tc>
          <w:tcPr>
            <w:tcW w:w="3150" w:type="dxa"/>
            <w:vAlign w:val="center"/>
            <w:hideMark/>
          </w:tcPr>
          <w:p w14:paraId="3D55618B" w14:textId="77777777" w:rsidR="0018067B" w:rsidRPr="005447DA" w:rsidRDefault="0018067B" w:rsidP="005447DA">
            <w:pPr>
              <w:spacing w:line="254" w:lineRule="auto"/>
              <w:ind w:firstLine="202"/>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262626" w:themeColor="text1" w:themeTint="D9"/>
                <w:sz w:val="36"/>
                <w:szCs w:val="36"/>
              </w:rPr>
            </w:pPr>
            <w:r w:rsidRPr="005447DA">
              <w:rPr>
                <w:rFonts w:eastAsia="Times New Roman" w:cs="Arial"/>
                <w:b/>
                <w:color w:val="262626" w:themeColor="text1" w:themeTint="D9"/>
                <w:kern w:val="24"/>
                <w:sz w:val="20"/>
                <w:szCs w:val="20"/>
              </w:rPr>
              <w:t>$2.77</w:t>
            </w:r>
          </w:p>
        </w:tc>
        <w:tc>
          <w:tcPr>
            <w:tcW w:w="3060" w:type="dxa"/>
            <w:vAlign w:val="center"/>
            <w:hideMark/>
          </w:tcPr>
          <w:p w14:paraId="0F8BF0BC" w14:textId="77777777" w:rsidR="0018067B" w:rsidRPr="005447DA" w:rsidRDefault="0018067B" w:rsidP="005447DA">
            <w:pPr>
              <w:spacing w:line="254" w:lineRule="auto"/>
              <w:ind w:firstLine="202"/>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262626" w:themeColor="text1" w:themeTint="D9"/>
                <w:sz w:val="36"/>
                <w:szCs w:val="36"/>
              </w:rPr>
            </w:pPr>
            <w:r w:rsidRPr="005447DA">
              <w:rPr>
                <w:rFonts w:eastAsia="Times New Roman" w:cs="Arial"/>
                <w:b/>
                <w:color w:val="262626" w:themeColor="text1" w:themeTint="D9"/>
                <w:kern w:val="24"/>
                <w:sz w:val="20"/>
                <w:szCs w:val="20"/>
              </w:rPr>
              <w:t>2.36</w:t>
            </w:r>
          </w:p>
        </w:tc>
      </w:tr>
      <w:tr w:rsidR="0018067B" w:rsidRPr="009F78BA" w14:paraId="29EECCE3" w14:textId="77777777" w:rsidTr="005447DA">
        <w:trPr>
          <w:trHeight w:val="217"/>
        </w:trPr>
        <w:tc>
          <w:tcPr>
            <w:cnfStyle w:val="001000000000" w:firstRow="0" w:lastRow="0" w:firstColumn="1" w:lastColumn="0" w:oddVBand="0" w:evenVBand="0" w:oddHBand="0" w:evenHBand="0" w:firstRowFirstColumn="0" w:firstRowLastColumn="0" w:lastRowFirstColumn="0" w:lastRowLastColumn="0"/>
            <w:tcW w:w="2960" w:type="dxa"/>
            <w:shd w:val="clear" w:color="auto" w:fill="C5E0B3" w:themeFill="accent6" w:themeFillTint="66"/>
            <w:vAlign w:val="center"/>
            <w:hideMark/>
          </w:tcPr>
          <w:p w14:paraId="1E669987" w14:textId="77777777" w:rsidR="0018067B" w:rsidRPr="005447DA" w:rsidRDefault="0018067B" w:rsidP="005447DA">
            <w:pPr>
              <w:spacing w:line="254" w:lineRule="auto"/>
              <w:ind w:firstLine="202"/>
              <w:rPr>
                <w:rFonts w:eastAsia="Times New Roman" w:cs="Arial"/>
                <w:b w:val="0"/>
                <w:color w:val="262626" w:themeColor="text1" w:themeTint="D9"/>
                <w:sz w:val="36"/>
                <w:szCs w:val="36"/>
              </w:rPr>
            </w:pPr>
            <w:r w:rsidRPr="005447DA">
              <w:rPr>
                <w:rFonts w:eastAsia="Times New Roman" w:cs="Arial"/>
                <w:b w:val="0"/>
                <w:color w:val="262626" w:themeColor="text1" w:themeTint="D9"/>
                <w:kern w:val="24"/>
                <w:sz w:val="20"/>
                <w:szCs w:val="20"/>
              </w:rPr>
              <w:t>Revenue B100 (dlvd.)</w:t>
            </w:r>
          </w:p>
        </w:tc>
        <w:tc>
          <w:tcPr>
            <w:tcW w:w="3150" w:type="dxa"/>
            <w:vAlign w:val="center"/>
            <w:hideMark/>
          </w:tcPr>
          <w:p w14:paraId="611C92E1" w14:textId="77777777" w:rsidR="0018067B" w:rsidRPr="0018067B" w:rsidRDefault="0018067B" w:rsidP="005447DA">
            <w:pPr>
              <w:spacing w:line="254" w:lineRule="auto"/>
              <w:ind w:firstLine="202"/>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62626" w:themeColor="text1" w:themeTint="D9"/>
                <w:sz w:val="36"/>
                <w:szCs w:val="36"/>
              </w:rPr>
            </w:pPr>
            <w:r w:rsidRPr="0018067B">
              <w:rPr>
                <w:rFonts w:eastAsia="Times New Roman" w:cs="Arial"/>
                <w:color w:val="262626" w:themeColor="text1" w:themeTint="D9"/>
                <w:kern w:val="24"/>
                <w:sz w:val="20"/>
                <w:szCs w:val="20"/>
              </w:rPr>
              <w:t>$3.</w:t>
            </w:r>
            <w:r w:rsidR="005447DA">
              <w:rPr>
                <w:rFonts w:eastAsia="Times New Roman" w:cs="Arial"/>
                <w:color w:val="262626" w:themeColor="text1" w:themeTint="D9"/>
                <w:kern w:val="24"/>
                <w:sz w:val="20"/>
                <w:szCs w:val="20"/>
              </w:rPr>
              <w:t>3</w:t>
            </w:r>
            <w:r w:rsidRPr="0018067B">
              <w:rPr>
                <w:rFonts w:eastAsia="Times New Roman" w:cs="Arial"/>
                <w:color w:val="262626" w:themeColor="text1" w:themeTint="D9"/>
                <w:kern w:val="24"/>
                <w:sz w:val="20"/>
                <w:szCs w:val="20"/>
              </w:rPr>
              <w:t>5</w:t>
            </w:r>
          </w:p>
        </w:tc>
        <w:tc>
          <w:tcPr>
            <w:tcW w:w="3060" w:type="dxa"/>
            <w:vAlign w:val="center"/>
            <w:hideMark/>
          </w:tcPr>
          <w:p w14:paraId="203B9C7B" w14:textId="77777777" w:rsidR="0018067B" w:rsidRPr="0018067B" w:rsidRDefault="0018067B" w:rsidP="005447DA">
            <w:pPr>
              <w:spacing w:line="254" w:lineRule="auto"/>
              <w:ind w:firstLine="202"/>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62626" w:themeColor="text1" w:themeTint="D9"/>
                <w:sz w:val="36"/>
                <w:szCs w:val="36"/>
              </w:rPr>
            </w:pPr>
            <w:r w:rsidRPr="0018067B">
              <w:rPr>
                <w:rFonts w:eastAsia="Times New Roman" w:cs="Arial"/>
                <w:color w:val="262626" w:themeColor="text1" w:themeTint="D9"/>
                <w:kern w:val="24"/>
                <w:sz w:val="20"/>
                <w:szCs w:val="20"/>
              </w:rPr>
              <w:t>3.</w:t>
            </w:r>
            <w:r w:rsidR="005447DA">
              <w:rPr>
                <w:rFonts w:eastAsia="Times New Roman" w:cs="Arial"/>
                <w:color w:val="262626" w:themeColor="text1" w:themeTint="D9"/>
                <w:kern w:val="24"/>
                <w:sz w:val="20"/>
                <w:szCs w:val="20"/>
              </w:rPr>
              <w:t>3</w:t>
            </w:r>
            <w:r w:rsidRPr="0018067B">
              <w:rPr>
                <w:rFonts w:eastAsia="Times New Roman" w:cs="Arial"/>
                <w:color w:val="262626" w:themeColor="text1" w:themeTint="D9"/>
                <w:kern w:val="24"/>
                <w:sz w:val="20"/>
                <w:szCs w:val="20"/>
              </w:rPr>
              <w:t>5</w:t>
            </w:r>
          </w:p>
        </w:tc>
      </w:tr>
      <w:tr w:rsidR="0018067B" w:rsidRPr="009F78BA" w14:paraId="322ECFE6" w14:textId="77777777" w:rsidTr="005447DA">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960" w:type="dxa"/>
            <w:shd w:val="clear" w:color="auto" w:fill="C5E0B3" w:themeFill="accent6" w:themeFillTint="66"/>
            <w:vAlign w:val="center"/>
            <w:hideMark/>
          </w:tcPr>
          <w:p w14:paraId="4936EEC4" w14:textId="77777777" w:rsidR="0018067B" w:rsidRPr="005447DA" w:rsidRDefault="0018067B" w:rsidP="005447DA">
            <w:pPr>
              <w:spacing w:line="254" w:lineRule="auto"/>
              <w:ind w:firstLine="202"/>
              <w:rPr>
                <w:rFonts w:eastAsia="Times New Roman" w:cs="Arial"/>
                <w:b w:val="0"/>
                <w:color w:val="262626" w:themeColor="text1" w:themeTint="D9"/>
                <w:sz w:val="36"/>
                <w:szCs w:val="36"/>
              </w:rPr>
            </w:pPr>
            <w:r w:rsidRPr="005447DA">
              <w:rPr>
                <w:rFonts w:eastAsia="Times New Roman" w:cs="Arial"/>
                <w:b w:val="0"/>
                <w:color w:val="262626" w:themeColor="text1" w:themeTint="D9"/>
                <w:kern w:val="24"/>
                <w:sz w:val="20"/>
                <w:szCs w:val="20"/>
              </w:rPr>
              <w:t>By-Products (fob)</w:t>
            </w:r>
          </w:p>
        </w:tc>
        <w:tc>
          <w:tcPr>
            <w:tcW w:w="3150" w:type="dxa"/>
            <w:vAlign w:val="center"/>
            <w:hideMark/>
          </w:tcPr>
          <w:p w14:paraId="5B72A7EC" w14:textId="77777777" w:rsidR="0018067B" w:rsidRPr="0018067B" w:rsidRDefault="0018067B" w:rsidP="005447DA">
            <w:pPr>
              <w:spacing w:line="254" w:lineRule="auto"/>
              <w:ind w:firstLine="202"/>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62626" w:themeColor="text1" w:themeTint="D9"/>
                <w:sz w:val="36"/>
                <w:szCs w:val="36"/>
              </w:rPr>
            </w:pPr>
            <w:r w:rsidRPr="0018067B">
              <w:rPr>
                <w:rFonts w:eastAsia="Times New Roman" w:cs="Arial"/>
                <w:color w:val="262626" w:themeColor="text1" w:themeTint="D9"/>
                <w:kern w:val="24"/>
                <w:sz w:val="20"/>
                <w:szCs w:val="20"/>
              </w:rPr>
              <w:t>$0.04</w:t>
            </w:r>
          </w:p>
        </w:tc>
        <w:tc>
          <w:tcPr>
            <w:tcW w:w="3060" w:type="dxa"/>
            <w:vAlign w:val="center"/>
            <w:hideMark/>
          </w:tcPr>
          <w:p w14:paraId="58A0F6F4" w14:textId="77777777" w:rsidR="0018067B" w:rsidRPr="0018067B" w:rsidRDefault="0018067B" w:rsidP="005447DA">
            <w:pPr>
              <w:spacing w:line="254" w:lineRule="auto"/>
              <w:ind w:firstLine="202"/>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62626" w:themeColor="text1" w:themeTint="D9"/>
                <w:sz w:val="36"/>
                <w:szCs w:val="36"/>
              </w:rPr>
            </w:pPr>
            <w:r w:rsidRPr="0018067B">
              <w:rPr>
                <w:rFonts w:eastAsia="Times New Roman" w:cs="Arial"/>
                <w:color w:val="262626" w:themeColor="text1" w:themeTint="D9"/>
                <w:kern w:val="24"/>
                <w:sz w:val="20"/>
                <w:szCs w:val="20"/>
              </w:rPr>
              <w:t>0.09</w:t>
            </w:r>
          </w:p>
        </w:tc>
      </w:tr>
      <w:tr w:rsidR="0018067B" w:rsidRPr="009F78BA" w14:paraId="5042C1A5" w14:textId="77777777" w:rsidTr="005447DA">
        <w:trPr>
          <w:trHeight w:val="397"/>
        </w:trPr>
        <w:tc>
          <w:tcPr>
            <w:cnfStyle w:val="001000000000" w:firstRow="0" w:lastRow="0" w:firstColumn="1" w:lastColumn="0" w:oddVBand="0" w:evenVBand="0" w:oddHBand="0" w:evenHBand="0" w:firstRowFirstColumn="0" w:firstRowLastColumn="0" w:lastRowFirstColumn="0" w:lastRowLastColumn="0"/>
            <w:tcW w:w="2960" w:type="dxa"/>
            <w:shd w:val="clear" w:color="auto" w:fill="C5E0B3" w:themeFill="accent6" w:themeFillTint="66"/>
            <w:vAlign w:val="center"/>
            <w:hideMark/>
          </w:tcPr>
          <w:p w14:paraId="48EA7B8D" w14:textId="5C1A2B21" w:rsidR="0018067B" w:rsidRPr="00F45569" w:rsidRDefault="0018067B" w:rsidP="005447DA">
            <w:pPr>
              <w:spacing w:line="254" w:lineRule="auto"/>
              <w:ind w:firstLine="202"/>
              <w:rPr>
                <w:rFonts w:eastAsia="Times New Roman" w:cs="Arial"/>
                <w:color w:val="262626" w:themeColor="text1" w:themeTint="D9"/>
                <w:sz w:val="36"/>
                <w:szCs w:val="36"/>
              </w:rPr>
            </w:pPr>
            <w:r w:rsidRPr="00F45569">
              <w:rPr>
                <w:rFonts w:eastAsia="Times New Roman" w:cs="Arial"/>
                <w:color w:val="262626" w:themeColor="text1" w:themeTint="D9"/>
                <w:kern w:val="24"/>
                <w:sz w:val="20"/>
                <w:szCs w:val="20"/>
              </w:rPr>
              <w:t>Total Revenue/gal</w:t>
            </w:r>
          </w:p>
        </w:tc>
        <w:tc>
          <w:tcPr>
            <w:tcW w:w="3150" w:type="dxa"/>
            <w:vAlign w:val="center"/>
            <w:hideMark/>
          </w:tcPr>
          <w:p w14:paraId="6692B79F" w14:textId="77777777" w:rsidR="0018067B" w:rsidRPr="00F45569" w:rsidRDefault="0018067B" w:rsidP="005447DA">
            <w:pPr>
              <w:spacing w:line="254" w:lineRule="auto"/>
              <w:ind w:firstLine="202"/>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262626" w:themeColor="text1" w:themeTint="D9"/>
                <w:sz w:val="36"/>
                <w:szCs w:val="36"/>
              </w:rPr>
            </w:pPr>
            <w:r w:rsidRPr="00F45569">
              <w:rPr>
                <w:rFonts w:eastAsia="Times New Roman" w:cs="Arial"/>
                <w:b/>
                <w:color w:val="262626" w:themeColor="text1" w:themeTint="D9"/>
                <w:kern w:val="24"/>
                <w:sz w:val="20"/>
                <w:szCs w:val="20"/>
              </w:rPr>
              <w:t>$3.</w:t>
            </w:r>
            <w:r w:rsidR="005447DA" w:rsidRPr="00F45569">
              <w:rPr>
                <w:rFonts w:eastAsia="Times New Roman" w:cs="Arial"/>
                <w:b/>
                <w:color w:val="262626" w:themeColor="text1" w:themeTint="D9"/>
                <w:kern w:val="24"/>
                <w:sz w:val="20"/>
                <w:szCs w:val="20"/>
              </w:rPr>
              <w:t>3</w:t>
            </w:r>
            <w:r w:rsidRPr="00F45569">
              <w:rPr>
                <w:rFonts w:eastAsia="Times New Roman" w:cs="Arial"/>
                <w:b/>
                <w:color w:val="262626" w:themeColor="text1" w:themeTint="D9"/>
                <w:kern w:val="24"/>
                <w:sz w:val="20"/>
                <w:szCs w:val="20"/>
              </w:rPr>
              <w:t>9</w:t>
            </w:r>
          </w:p>
        </w:tc>
        <w:tc>
          <w:tcPr>
            <w:tcW w:w="3060" w:type="dxa"/>
            <w:vAlign w:val="center"/>
            <w:hideMark/>
          </w:tcPr>
          <w:p w14:paraId="259B4214" w14:textId="77777777" w:rsidR="0018067B" w:rsidRPr="00F45569" w:rsidRDefault="0018067B" w:rsidP="005447DA">
            <w:pPr>
              <w:spacing w:line="254" w:lineRule="auto"/>
              <w:ind w:firstLine="202"/>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262626" w:themeColor="text1" w:themeTint="D9"/>
                <w:sz w:val="36"/>
                <w:szCs w:val="36"/>
              </w:rPr>
            </w:pPr>
            <w:r w:rsidRPr="00F45569">
              <w:rPr>
                <w:rFonts w:eastAsia="Times New Roman" w:cs="Arial"/>
                <w:b/>
                <w:color w:val="262626" w:themeColor="text1" w:themeTint="D9"/>
                <w:kern w:val="24"/>
                <w:sz w:val="20"/>
                <w:szCs w:val="20"/>
              </w:rPr>
              <w:t>3.</w:t>
            </w:r>
            <w:r w:rsidR="005447DA" w:rsidRPr="00F45569">
              <w:rPr>
                <w:rFonts w:eastAsia="Times New Roman" w:cs="Arial"/>
                <w:b/>
                <w:color w:val="262626" w:themeColor="text1" w:themeTint="D9"/>
                <w:kern w:val="24"/>
                <w:sz w:val="20"/>
                <w:szCs w:val="20"/>
              </w:rPr>
              <w:t>4</w:t>
            </w:r>
            <w:r w:rsidRPr="00F45569">
              <w:rPr>
                <w:rFonts w:eastAsia="Times New Roman" w:cs="Arial"/>
                <w:b/>
                <w:color w:val="262626" w:themeColor="text1" w:themeTint="D9"/>
                <w:kern w:val="24"/>
                <w:sz w:val="20"/>
                <w:szCs w:val="20"/>
              </w:rPr>
              <w:t>4</w:t>
            </w:r>
          </w:p>
        </w:tc>
      </w:tr>
      <w:tr w:rsidR="0018067B" w:rsidRPr="009F78BA" w14:paraId="7A4E7FC3" w14:textId="77777777" w:rsidTr="005447D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960" w:type="dxa"/>
            <w:shd w:val="clear" w:color="auto" w:fill="C5E0B3" w:themeFill="accent6" w:themeFillTint="66"/>
            <w:vAlign w:val="center"/>
            <w:hideMark/>
          </w:tcPr>
          <w:p w14:paraId="2C0BC29D" w14:textId="77777777" w:rsidR="0018067B" w:rsidRPr="005447DA" w:rsidRDefault="0018067B" w:rsidP="005447DA">
            <w:pPr>
              <w:spacing w:line="254" w:lineRule="auto"/>
              <w:ind w:firstLine="202"/>
              <w:rPr>
                <w:rFonts w:eastAsia="Times New Roman" w:cs="Arial"/>
                <w:color w:val="262626" w:themeColor="text1" w:themeTint="D9"/>
                <w:sz w:val="36"/>
                <w:szCs w:val="36"/>
              </w:rPr>
            </w:pPr>
            <w:r w:rsidRPr="005447DA">
              <w:rPr>
                <w:rFonts w:eastAsia="Times New Roman" w:cs="Arial"/>
                <w:color w:val="262626" w:themeColor="text1" w:themeTint="D9"/>
                <w:kern w:val="24"/>
                <w:sz w:val="20"/>
                <w:szCs w:val="20"/>
              </w:rPr>
              <w:t>EBITDA/gal</w:t>
            </w:r>
          </w:p>
        </w:tc>
        <w:tc>
          <w:tcPr>
            <w:tcW w:w="3150" w:type="dxa"/>
            <w:vAlign w:val="center"/>
            <w:hideMark/>
          </w:tcPr>
          <w:p w14:paraId="5A35DB8C" w14:textId="77777777" w:rsidR="0018067B" w:rsidRPr="005447DA" w:rsidRDefault="0018067B" w:rsidP="005447DA">
            <w:pPr>
              <w:spacing w:line="254" w:lineRule="auto"/>
              <w:ind w:firstLine="202"/>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262626" w:themeColor="text1" w:themeTint="D9"/>
                <w:sz w:val="36"/>
                <w:szCs w:val="36"/>
              </w:rPr>
            </w:pPr>
            <w:r w:rsidRPr="005447DA">
              <w:rPr>
                <w:rFonts w:eastAsia="Times New Roman" w:cs="Arial"/>
                <w:b/>
                <w:color w:val="262626" w:themeColor="text1" w:themeTint="D9"/>
                <w:kern w:val="24"/>
                <w:sz w:val="20"/>
                <w:szCs w:val="20"/>
              </w:rPr>
              <w:t>$0.</w:t>
            </w:r>
            <w:r w:rsidR="005447DA" w:rsidRPr="005447DA">
              <w:rPr>
                <w:rFonts w:eastAsia="Times New Roman" w:cs="Arial"/>
                <w:b/>
                <w:color w:val="262626" w:themeColor="text1" w:themeTint="D9"/>
                <w:kern w:val="24"/>
                <w:sz w:val="20"/>
                <w:szCs w:val="20"/>
              </w:rPr>
              <w:t>62</w:t>
            </w:r>
          </w:p>
        </w:tc>
        <w:tc>
          <w:tcPr>
            <w:tcW w:w="3060" w:type="dxa"/>
            <w:vAlign w:val="center"/>
            <w:hideMark/>
          </w:tcPr>
          <w:p w14:paraId="5F3473E2" w14:textId="39565F0F" w:rsidR="0018067B" w:rsidRPr="005447DA" w:rsidRDefault="005447DA" w:rsidP="005447DA">
            <w:pPr>
              <w:spacing w:line="254" w:lineRule="auto"/>
              <w:ind w:firstLine="202"/>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262626" w:themeColor="text1" w:themeTint="D9"/>
                <w:sz w:val="36"/>
                <w:szCs w:val="36"/>
              </w:rPr>
            </w:pPr>
            <w:r w:rsidRPr="005447DA">
              <w:rPr>
                <w:rFonts w:eastAsia="Times New Roman" w:cs="Arial"/>
                <w:b/>
                <w:color w:val="262626" w:themeColor="text1" w:themeTint="D9"/>
                <w:kern w:val="24"/>
                <w:sz w:val="20"/>
                <w:szCs w:val="20"/>
              </w:rPr>
              <w:t>1.0</w:t>
            </w:r>
            <w:r w:rsidR="009D3F80">
              <w:rPr>
                <w:rFonts w:eastAsia="Times New Roman" w:cs="Arial"/>
                <w:b/>
                <w:color w:val="262626" w:themeColor="text1" w:themeTint="D9"/>
                <w:kern w:val="24"/>
                <w:sz w:val="20"/>
                <w:szCs w:val="20"/>
              </w:rPr>
              <w:t>1</w:t>
            </w:r>
          </w:p>
        </w:tc>
      </w:tr>
      <w:tr w:rsidR="0018067B" w:rsidRPr="009F78BA" w14:paraId="354C9367" w14:textId="77777777" w:rsidTr="005447DA">
        <w:trPr>
          <w:trHeight w:val="307"/>
        </w:trPr>
        <w:tc>
          <w:tcPr>
            <w:cnfStyle w:val="001000000000" w:firstRow="0" w:lastRow="0" w:firstColumn="1" w:lastColumn="0" w:oddVBand="0" w:evenVBand="0" w:oddHBand="0" w:evenHBand="0" w:firstRowFirstColumn="0" w:firstRowLastColumn="0" w:lastRowFirstColumn="0" w:lastRowLastColumn="0"/>
            <w:tcW w:w="2960" w:type="dxa"/>
            <w:shd w:val="clear" w:color="auto" w:fill="C5E0B3" w:themeFill="accent6" w:themeFillTint="66"/>
            <w:vAlign w:val="center"/>
            <w:hideMark/>
          </w:tcPr>
          <w:p w14:paraId="308853CD" w14:textId="2291077F" w:rsidR="0018067B" w:rsidRPr="005447DA" w:rsidRDefault="0018067B" w:rsidP="005447DA">
            <w:pPr>
              <w:spacing w:line="254" w:lineRule="auto"/>
              <w:ind w:firstLine="202"/>
              <w:rPr>
                <w:rFonts w:eastAsia="Times New Roman" w:cs="Arial"/>
                <w:color w:val="262626" w:themeColor="text1" w:themeTint="D9"/>
                <w:sz w:val="36"/>
                <w:szCs w:val="36"/>
              </w:rPr>
            </w:pPr>
            <w:r w:rsidRPr="005447DA">
              <w:rPr>
                <w:rFonts w:eastAsia="Times New Roman" w:cs="Arial"/>
                <w:color w:val="262626" w:themeColor="text1" w:themeTint="D9"/>
                <w:kern w:val="24"/>
                <w:sz w:val="20"/>
                <w:szCs w:val="20"/>
              </w:rPr>
              <w:t>Total EBITDA/Year</w:t>
            </w:r>
            <w:r w:rsidR="00F45569">
              <w:rPr>
                <w:rFonts w:eastAsia="Times New Roman" w:cs="Arial"/>
                <w:color w:val="262626" w:themeColor="text1" w:themeTint="D9"/>
                <w:kern w:val="24"/>
                <w:sz w:val="20"/>
                <w:szCs w:val="20"/>
              </w:rPr>
              <w:t xml:space="preserve"> Avg.</w:t>
            </w:r>
          </w:p>
        </w:tc>
        <w:tc>
          <w:tcPr>
            <w:tcW w:w="3150" w:type="dxa"/>
            <w:vAlign w:val="center"/>
            <w:hideMark/>
          </w:tcPr>
          <w:p w14:paraId="7903B1F7" w14:textId="77777777" w:rsidR="0018067B" w:rsidRPr="005447DA" w:rsidRDefault="0018067B" w:rsidP="005447DA">
            <w:pPr>
              <w:spacing w:line="254" w:lineRule="auto"/>
              <w:ind w:firstLine="202"/>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262626" w:themeColor="text1" w:themeTint="D9"/>
                <w:sz w:val="36"/>
                <w:szCs w:val="36"/>
              </w:rPr>
            </w:pPr>
            <w:r w:rsidRPr="005447DA">
              <w:rPr>
                <w:rFonts w:eastAsia="Times New Roman" w:cs="Arial"/>
                <w:b/>
                <w:color w:val="262626" w:themeColor="text1" w:themeTint="D9"/>
                <w:kern w:val="24"/>
                <w:sz w:val="20"/>
                <w:szCs w:val="20"/>
              </w:rPr>
              <w:t>$</w:t>
            </w:r>
            <w:r w:rsidR="005447DA">
              <w:rPr>
                <w:rFonts w:eastAsia="Times New Roman" w:cs="Arial"/>
                <w:b/>
                <w:color w:val="262626" w:themeColor="text1" w:themeTint="D9"/>
                <w:kern w:val="24"/>
                <w:sz w:val="20"/>
                <w:szCs w:val="20"/>
              </w:rPr>
              <w:t>15</w:t>
            </w:r>
            <w:r w:rsidRPr="005447DA">
              <w:rPr>
                <w:rFonts w:eastAsia="Times New Roman" w:cs="Arial"/>
                <w:b/>
                <w:color w:val="262626" w:themeColor="text1" w:themeTint="D9"/>
                <w:kern w:val="24"/>
                <w:sz w:val="20"/>
                <w:szCs w:val="20"/>
              </w:rPr>
              <w:t>,</w:t>
            </w:r>
            <w:r w:rsidR="005447DA">
              <w:rPr>
                <w:rFonts w:eastAsia="Times New Roman" w:cs="Arial"/>
                <w:b/>
                <w:color w:val="262626" w:themeColor="text1" w:themeTint="D9"/>
                <w:kern w:val="24"/>
                <w:sz w:val="20"/>
                <w:szCs w:val="20"/>
              </w:rPr>
              <w:t>5</w:t>
            </w:r>
            <w:r w:rsidRPr="005447DA">
              <w:rPr>
                <w:rFonts w:eastAsia="Times New Roman" w:cs="Arial"/>
                <w:b/>
                <w:color w:val="262626" w:themeColor="text1" w:themeTint="D9"/>
                <w:kern w:val="24"/>
                <w:sz w:val="20"/>
                <w:szCs w:val="20"/>
              </w:rPr>
              <w:t>00,000</w:t>
            </w:r>
          </w:p>
        </w:tc>
        <w:tc>
          <w:tcPr>
            <w:tcW w:w="3060" w:type="dxa"/>
            <w:vAlign w:val="center"/>
            <w:hideMark/>
          </w:tcPr>
          <w:p w14:paraId="1DCF5069" w14:textId="6E0D97D3" w:rsidR="0018067B" w:rsidRPr="005447DA" w:rsidRDefault="009D3F80" w:rsidP="005447DA">
            <w:pPr>
              <w:spacing w:line="254" w:lineRule="auto"/>
              <w:ind w:firstLine="202"/>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262626" w:themeColor="text1" w:themeTint="D9"/>
                <w:sz w:val="36"/>
                <w:szCs w:val="36"/>
              </w:rPr>
            </w:pPr>
            <w:r>
              <w:rPr>
                <w:rFonts w:eastAsia="Times New Roman" w:cs="Arial"/>
                <w:b/>
                <w:color w:val="262626" w:themeColor="text1" w:themeTint="D9"/>
                <w:kern w:val="24"/>
                <w:sz w:val="20"/>
                <w:szCs w:val="20"/>
              </w:rPr>
              <w:t>25</w:t>
            </w:r>
            <w:r w:rsidR="0018067B" w:rsidRPr="005447DA">
              <w:rPr>
                <w:rFonts w:eastAsia="Times New Roman" w:cs="Arial"/>
                <w:b/>
                <w:color w:val="262626" w:themeColor="text1" w:themeTint="D9"/>
                <w:kern w:val="24"/>
                <w:sz w:val="20"/>
                <w:szCs w:val="20"/>
              </w:rPr>
              <w:t>,</w:t>
            </w:r>
            <w:r>
              <w:rPr>
                <w:rFonts w:eastAsia="Times New Roman" w:cs="Arial"/>
                <w:b/>
                <w:color w:val="262626" w:themeColor="text1" w:themeTint="D9"/>
                <w:kern w:val="24"/>
                <w:sz w:val="20"/>
                <w:szCs w:val="20"/>
              </w:rPr>
              <w:t>25</w:t>
            </w:r>
            <w:r w:rsidR="0018067B" w:rsidRPr="005447DA">
              <w:rPr>
                <w:rFonts w:eastAsia="Times New Roman" w:cs="Arial"/>
                <w:b/>
                <w:color w:val="262626" w:themeColor="text1" w:themeTint="D9"/>
                <w:kern w:val="24"/>
                <w:sz w:val="20"/>
                <w:szCs w:val="20"/>
              </w:rPr>
              <w:t>0,000</w:t>
            </w:r>
          </w:p>
        </w:tc>
      </w:tr>
      <w:tr w:rsidR="00EB0BC4" w:rsidRPr="009F78BA" w14:paraId="62F238FC" w14:textId="77777777" w:rsidTr="005447D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60" w:type="dxa"/>
            <w:shd w:val="clear" w:color="auto" w:fill="C5E0B3" w:themeFill="accent6" w:themeFillTint="66"/>
            <w:vAlign w:val="center"/>
          </w:tcPr>
          <w:p w14:paraId="184FCACE" w14:textId="726BCE16" w:rsidR="00EB0BC4" w:rsidRPr="005447DA" w:rsidRDefault="00EB0BC4" w:rsidP="005447DA">
            <w:pPr>
              <w:spacing w:line="254" w:lineRule="auto"/>
              <w:ind w:firstLine="202"/>
              <w:rPr>
                <w:rFonts w:eastAsia="Times New Roman" w:cs="Arial"/>
                <w:b w:val="0"/>
                <w:color w:val="262626" w:themeColor="text1" w:themeTint="D9"/>
                <w:kern w:val="24"/>
                <w:sz w:val="20"/>
                <w:szCs w:val="20"/>
              </w:rPr>
            </w:pPr>
            <w:r>
              <w:rPr>
                <w:rFonts w:eastAsia="Times New Roman" w:cs="Arial"/>
                <w:b w:val="0"/>
                <w:color w:val="262626" w:themeColor="text1" w:themeTint="D9"/>
                <w:kern w:val="24"/>
                <w:sz w:val="20"/>
                <w:szCs w:val="20"/>
              </w:rPr>
              <w:t xml:space="preserve">First Year EBITDA </w:t>
            </w:r>
          </w:p>
        </w:tc>
        <w:tc>
          <w:tcPr>
            <w:tcW w:w="3150" w:type="dxa"/>
            <w:vAlign w:val="center"/>
          </w:tcPr>
          <w:p w14:paraId="4823F789" w14:textId="209A42B5" w:rsidR="00EB0BC4" w:rsidRDefault="00EB0BC4" w:rsidP="00584A79">
            <w:pPr>
              <w:spacing w:line="254" w:lineRule="auto"/>
              <w:ind w:firstLine="202"/>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62626" w:themeColor="text1" w:themeTint="D9"/>
                <w:kern w:val="24"/>
                <w:sz w:val="20"/>
                <w:szCs w:val="20"/>
              </w:rPr>
            </w:pPr>
            <w:r>
              <w:rPr>
                <w:rFonts w:eastAsia="Times New Roman" w:cs="Arial"/>
                <w:color w:val="262626" w:themeColor="text1" w:themeTint="D9"/>
                <w:kern w:val="24"/>
                <w:sz w:val="20"/>
                <w:szCs w:val="20"/>
              </w:rPr>
              <w:t>$10,500,000</w:t>
            </w:r>
          </w:p>
        </w:tc>
        <w:tc>
          <w:tcPr>
            <w:tcW w:w="3060" w:type="dxa"/>
            <w:vAlign w:val="center"/>
          </w:tcPr>
          <w:p w14:paraId="26DC0D2D" w14:textId="5DDD57EC" w:rsidR="00EB0BC4" w:rsidRPr="0018067B" w:rsidRDefault="00EB0BC4" w:rsidP="00584A79">
            <w:pPr>
              <w:spacing w:line="254" w:lineRule="auto"/>
              <w:ind w:firstLine="202"/>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62626" w:themeColor="text1" w:themeTint="D9"/>
                <w:kern w:val="24"/>
                <w:sz w:val="20"/>
                <w:szCs w:val="20"/>
              </w:rPr>
            </w:pPr>
            <w:r>
              <w:rPr>
                <w:rFonts w:eastAsia="Times New Roman" w:cs="Arial"/>
                <w:color w:val="262626" w:themeColor="text1" w:themeTint="D9"/>
                <w:kern w:val="24"/>
                <w:sz w:val="20"/>
                <w:szCs w:val="20"/>
              </w:rPr>
              <w:t>$15,500,000</w:t>
            </w:r>
          </w:p>
        </w:tc>
      </w:tr>
      <w:tr w:rsidR="0018067B" w:rsidRPr="009F78BA" w14:paraId="6C5F91EB" w14:textId="77777777" w:rsidTr="00931C9F">
        <w:trPr>
          <w:trHeight w:val="377"/>
        </w:trPr>
        <w:tc>
          <w:tcPr>
            <w:cnfStyle w:val="001000000000" w:firstRow="0" w:lastRow="0" w:firstColumn="1" w:lastColumn="0" w:oddVBand="0" w:evenVBand="0" w:oddHBand="0" w:evenHBand="0" w:firstRowFirstColumn="0" w:firstRowLastColumn="0" w:lastRowFirstColumn="0" w:lastRowLastColumn="0"/>
            <w:tcW w:w="2960" w:type="dxa"/>
            <w:shd w:val="clear" w:color="auto" w:fill="C5E0B3" w:themeFill="accent6" w:themeFillTint="66"/>
            <w:vAlign w:val="center"/>
            <w:hideMark/>
          </w:tcPr>
          <w:p w14:paraId="55BFA64A" w14:textId="77777777" w:rsidR="0018067B" w:rsidRPr="005447DA" w:rsidRDefault="0018067B" w:rsidP="005447DA">
            <w:pPr>
              <w:spacing w:line="254" w:lineRule="auto"/>
              <w:ind w:firstLine="202"/>
              <w:rPr>
                <w:rFonts w:eastAsia="Times New Roman" w:cs="Arial"/>
                <w:b w:val="0"/>
                <w:color w:val="262626" w:themeColor="text1" w:themeTint="D9"/>
                <w:sz w:val="36"/>
                <w:szCs w:val="36"/>
              </w:rPr>
            </w:pPr>
            <w:r w:rsidRPr="005447DA">
              <w:rPr>
                <w:rFonts w:eastAsia="Times New Roman" w:cs="Arial"/>
                <w:b w:val="0"/>
                <w:color w:val="262626" w:themeColor="text1" w:themeTint="D9"/>
                <w:kern w:val="24"/>
                <w:sz w:val="20"/>
                <w:szCs w:val="20"/>
              </w:rPr>
              <w:t>Months to Payback</w:t>
            </w:r>
          </w:p>
        </w:tc>
        <w:tc>
          <w:tcPr>
            <w:tcW w:w="3150" w:type="dxa"/>
            <w:vAlign w:val="center"/>
            <w:hideMark/>
          </w:tcPr>
          <w:p w14:paraId="345B56DA" w14:textId="765F309C" w:rsidR="0018067B" w:rsidRPr="0018067B" w:rsidRDefault="00F45569" w:rsidP="00584A79">
            <w:pPr>
              <w:spacing w:line="254" w:lineRule="auto"/>
              <w:ind w:firstLine="202"/>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62626" w:themeColor="text1" w:themeTint="D9"/>
                <w:sz w:val="36"/>
                <w:szCs w:val="36"/>
              </w:rPr>
            </w:pPr>
            <w:r>
              <w:rPr>
                <w:rFonts w:eastAsia="Times New Roman" w:cs="Arial"/>
                <w:color w:val="262626" w:themeColor="text1" w:themeTint="D9"/>
                <w:kern w:val="24"/>
                <w:sz w:val="20"/>
                <w:szCs w:val="20"/>
              </w:rPr>
              <w:t>2</w:t>
            </w:r>
            <w:r w:rsidR="00EB0BC4">
              <w:rPr>
                <w:rFonts w:eastAsia="Times New Roman" w:cs="Arial"/>
                <w:color w:val="262626" w:themeColor="text1" w:themeTint="D9"/>
                <w:kern w:val="24"/>
                <w:sz w:val="20"/>
                <w:szCs w:val="20"/>
              </w:rPr>
              <w:t>5</w:t>
            </w:r>
          </w:p>
        </w:tc>
        <w:tc>
          <w:tcPr>
            <w:tcW w:w="3060" w:type="dxa"/>
            <w:vAlign w:val="center"/>
            <w:hideMark/>
          </w:tcPr>
          <w:p w14:paraId="2F1FA73D" w14:textId="29902D5D" w:rsidR="0018067B" w:rsidRPr="0018067B" w:rsidRDefault="0018067B" w:rsidP="00584A79">
            <w:pPr>
              <w:spacing w:line="254" w:lineRule="auto"/>
              <w:ind w:firstLine="202"/>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62626" w:themeColor="text1" w:themeTint="D9"/>
                <w:sz w:val="36"/>
                <w:szCs w:val="36"/>
              </w:rPr>
            </w:pPr>
            <w:r w:rsidRPr="0018067B">
              <w:rPr>
                <w:rFonts w:eastAsia="Times New Roman" w:cs="Arial"/>
                <w:color w:val="262626" w:themeColor="text1" w:themeTint="D9"/>
                <w:kern w:val="24"/>
                <w:sz w:val="20"/>
                <w:szCs w:val="20"/>
              </w:rPr>
              <w:t>1</w:t>
            </w:r>
            <w:r w:rsidR="00EB0BC4">
              <w:rPr>
                <w:rFonts w:eastAsia="Times New Roman" w:cs="Arial"/>
                <w:color w:val="262626" w:themeColor="text1" w:themeTint="D9"/>
                <w:kern w:val="24"/>
                <w:sz w:val="20"/>
                <w:szCs w:val="20"/>
              </w:rPr>
              <w:t>7</w:t>
            </w:r>
          </w:p>
        </w:tc>
      </w:tr>
      <w:tr w:rsidR="0018067B" w:rsidRPr="009F78BA" w14:paraId="1A75FDFB" w14:textId="77777777" w:rsidTr="005447D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960" w:type="dxa"/>
            <w:shd w:val="clear" w:color="auto" w:fill="C5E0B3" w:themeFill="accent6" w:themeFillTint="66"/>
            <w:vAlign w:val="center"/>
            <w:hideMark/>
          </w:tcPr>
          <w:p w14:paraId="296DDE82" w14:textId="77777777" w:rsidR="0018067B" w:rsidRPr="005447DA" w:rsidRDefault="0018067B" w:rsidP="005447DA">
            <w:pPr>
              <w:spacing w:line="254" w:lineRule="auto"/>
              <w:ind w:firstLine="202"/>
              <w:rPr>
                <w:rFonts w:eastAsia="Times New Roman" w:cs="Arial"/>
                <w:b w:val="0"/>
                <w:color w:val="262626" w:themeColor="text1" w:themeTint="D9"/>
                <w:sz w:val="36"/>
                <w:szCs w:val="36"/>
              </w:rPr>
            </w:pPr>
            <w:r w:rsidRPr="005447DA">
              <w:rPr>
                <w:rFonts w:eastAsia="Times New Roman" w:cs="Arial"/>
                <w:b w:val="0"/>
                <w:color w:val="262626" w:themeColor="text1" w:themeTint="D9"/>
                <w:kern w:val="24"/>
                <w:sz w:val="20"/>
                <w:szCs w:val="20"/>
              </w:rPr>
              <w:t>IRR (10 years)</w:t>
            </w:r>
          </w:p>
        </w:tc>
        <w:tc>
          <w:tcPr>
            <w:tcW w:w="3150" w:type="dxa"/>
            <w:vAlign w:val="center"/>
            <w:hideMark/>
          </w:tcPr>
          <w:p w14:paraId="76FDD7B2" w14:textId="2129F82B" w:rsidR="0018067B" w:rsidRPr="00933E88" w:rsidRDefault="00584A79" w:rsidP="00584A79">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36"/>
                <w:szCs w:val="36"/>
              </w:rPr>
            </w:pPr>
            <w:r>
              <w:rPr>
                <w:rFonts w:eastAsia="Times New Roman" w:cs="Arial"/>
                <w:color w:val="000000" w:themeColor="dark1"/>
                <w:kern w:val="24"/>
                <w:sz w:val="20"/>
                <w:szCs w:val="20"/>
              </w:rPr>
              <w:t xml:space="preserve">      </w:t>
            </w:r>
            <w:r w:rsidR="00F45569">
              <w:rPr>
                <w:rFonts w:eastAsia="Times New Roman" w:cs="Arial"/>
                <w:color w:val="000000" w:themeColor="dark1"/>
                <w:kern w:val="24"/>
                <w:sz w:val="20"/>
                <w:szCs w:val="20"/>
              </w:rPr>
              <w:t>45</w:t>
            </w:r>
            <w:r w:rsidR="0018067B" w:rsidRPr="00933E88">
              <w:rPr>
                <w:rFonts w:eastAsia="Times New Roman" w:cs="Arial"/>
                <w:color w:val="000000" w:themeColor="dark1"/>
                <w:kern w:val="24"/>
                <w:sz w:val="20"/>
                <w:szCs w:val="20"/>
              </w:rPr>
              <w:t>%</w:t>
            </w:r>
          </w:p>
        </w:tc>
        <w:tc>
          <w:tcPr>
            <w:tcW w:w="3060" w:type="dxa"/>
            <w:vAlign w:val="center"/>
            <w:hideMark/>
          </w:tcPr>
          <w:p w14:paraId="0348C9E5" w14:textId="63A8D294" w:rsidR="0018067B" w:rsidRPr="00933E88" w:rsidRDefault="00584A79" w:rsidP="00584A79">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36"/>
                <w:szCs w:val="36"/>
              </w:rPr>
            </w:pPr>
            <w:r>
              <w:rPr>
                <w:rFonts w:eastAsia="Times New Roman" w:cs="Arial"/>
                <w:color w:val="000000" w:themeColor="dark1"/>
                <w:kern w:val="24"/>
                <w:sz w:val="20"/>
                <w:szCs w:val="20"/>
              </w:rPr>
              <w:t xml:space="preserve">     </w:t>
            </w:r>
            <w:r w:rsidR="006837D0">
              <w:rPr>
                <w:rFonts w:eastAsia="Times New Roman" w:cs="Arial"/>
                <w:color w:val="000000" w:themeColor="dark1"/>
                <w:kern w:val="24"/>
                <w:sz w:val="20"/>
                <w:szCs w:val="20"/>
              </w:rPr>
              <w:t>65</w:t>
            </w:r>
            <w:r w:rsidR="0018067B" w:rsidRPr="00933E88">
              <w:rPr>
                <w:rFonts w:eastAsia="Times New Roman" w:cs="Arial"/>
                <w:color w:val="000000" w:themeColor="dark1"/>
                <w:kern w:val="24"/>
                <w:sz w:val="20"/>
                <w:szCs w:val="20"/>
              </w:rPr>
              <w:t>%</w:t>
            </w:r>
          </w:p>
        </w:tc>
      </w:tr>
    </w:tbl>
    <w:p w14:paraId="3B9D4AF9" w14:textId="0325B0BA" w:rsidR="009F78BA" w:rsidRDefault="00EB0BC4" w:rsidP="00B63EB1">
      <w:pPr>
        <w:spacing w:line="300" w:lineRule="auto"/>
      </w:pPr>
      <w:r>
        <w:br/>
      </w:r>
    </w:p>
    <w:p w14:paraId="1C51F333" w14:textId="77777777" w:rsidR="00584A79" w:rsidRDefault="00584A79" w:rsidP="00924DA0">
      <w:pPr>
        <w:spacing w:after="0" w:line="300" w:lineRule="auto"/>
        <w:rPr>
          <w:b/>
          <w:sz w:val="24"/>
          <w:szCs w:val="24"/>
          <w:u w:val="single"/>
        </w:rPr>
      </w:pPr>
    </w:p>
    <w:p w14:paraId="0EEB9C9C" w14:textId="77777777" w:rsidR="00584A79" w:rsidRDefault="00584A79" w:rsidP="00924DA0">
      <w:pPr>
        <w:spacing w:after="0" w:line="300" w:lineRule="auto"/>
        <w:rPr>
          <w:b/>
          <w:sz w:val="24"/>
          <w:szCs w:val="24"/>
          <w:u w:val="single"/>
        </w:rPr>
      </w:pPr>
    </w:p>
    <w:p w14:paraId="7FE3BF2C" w14:textId="77777777" w:rsidR="00584A79" w:rsidRDefault="00584A79" w:rsidP="00924DA0">
      <w:pPr>
        <w:spacing w:after="0" w:line="300" w:lineRule="auto"/>
        <w:rPr>
          <w:b/>
          <w:sz w:val="24"/>
          <w:szCs w:val="24"/>
          <w:u w:val="single"/>
        </w:rPr>
      </w:pPr>
    </w:p>
    <w:p w14:paraId="5F29E528" w14:textId="77777777" w:rsidR="00584A79" w:rsidRDefault="00584A79" w:rsidP="00924DA0">
      <w:pPr>
        <w:spacing w:after="0" w:line="300" w:lineRule="auto"/>
        <w:rPr>
          <w:b/>
          <w:sz w:val="24"/>
          <w:szCs w:val="24"/>
          <w:u w:val="single"/>
        </w:rPr>
      </w:pPr>
    </w:p>
    <w:p w14:paraId="6B6EF1D0" w14:textId="77777777" w:rsidR="00924DA0" w:rsidRPr="001302F6" w:rsidRDefault="00924DA0" w:rsidP="00924DA0">
      <w:pPr>
        <w:spacing w:after="0" w:line="300" w:lineRule="auto"/>
        <w:rPr>
          <w:b/>
          <w:sz w:val="24"/>
          <w:szCs w:val="24"/>
          <w:u w:val="single"/>
        </w:rPr>
      </w:pPr>
      <w:r w:rsidRPr="001302F6">
        <w:rPr>
          <w:b/>
          <w:sz w:val="24"/>
          <w:szCs w:val="24"/>
          <w:u w:val="single"/>
        </w:rPr>
        <w:t>Market Size and Growth</w:t>
      </w:r>
    </w:p>
    <w:p w14:paraId="589B4379" w14:textId="77777777" w:rsidR="00415FE2" w:rsidRDefault="00924DA0" w:rsidP="00924DA0">
      <w:pPr>
        <w:spacing w:line="300" w:lineRule="auto"/>
      </w:pPr>
      <w:r w:rsidRPr="006A2E3D">
        <w:t xml:space="preserve">California </w:t>
      </w:r>
      <w:r w:rsidR="00415FE2">
        <w:t xml:space="preserve">currently </w:t>
      </w:r>
      <w:r w:rsidRPr="006A2E3D">
        <w:t xml:space="preserve">offers the greatest market for </w:t>
      </w:r>
      <w:r w:rsidR="003F5924" w:rsidRPr="003F5924">
        <w:rPr>
          <w:i/>
        </w:rPr>
        <w:t>Super</w:t>
      </w:r>
      <w:r w:rsidR="003F5924">
        <w:t xml:space="preserve"> biodiesel</w:t>
      </w:r>
      <w:r w:rsidRPr="006A2E3D">
        <w:t xml:space="preserve"> in the U.S. </w:t>
      </w:r>
      <w:r w:rsidR="00F42216">
        <w:t xml:space="preserve">as they instituted the low carbon fuel standard (LCFS), a subsidy with a monetary incentive to produce the lowest low carbon fuel. </w:t>
      </w:r>
      <w:r w:rsidR="00415FE2">
        <w:t xml:space="preserve">This is in addition to the EPA’s Renewable Fuel Standard. </w:t>
      </w:r>
    </w:p>
    <w:p w14:paraId="1A3FAA9B" w14:textId="79185060" w:rsidR="00924DA0" w:rsidRDefault="00924DA0" w:rsidP="00924DA0">
      <w:pPr>
        <w:spacing w:line="300" w:lineRule="auto"/>
      </w:pPr>
      <w:r w:rsidRPr="006A2E3D">
        <w:t xml:space="preserve">However, other states and cities are expected join the trend. For instance, New York City indicates plans to switch to using </w:t>
      </w:r>
      <w:r w:rsidR="003F5924">
        <w:t>biodiesel</w:t>
      </w:r>
      <w:r w:rsidRPr="006A2E3D">
        <w:t xml:space="preserve"> </w:t>
      </w:r>
      <w:r w:rsidR="00F42216">
        <w:t xml:space="preserve">in city vehicles </w:t>
      </w:r>
      <w:r w:rsidR="00584A79">
        <w:t>a</w:t>
      </w:r>
      <w:r w:rsidR="003F5924">
        <w:t xml:space="preserve">nd </w:t>
      </w:r>
      <w:r w:rsidR="00F42216">
        <w:t>has already</w:t>
      </w:r>
      <w:r w:rsidR="003F5924">
        <w:t xml:space="preserve"> mandat</w:t>
      </w:r>
      <w:r w:rsidR="00F42216">
        <w:t>ed</w:t>
      </w:r>
      <w:r w:rsidR="003F5924">
        <w:t xml:space="preserve"> a 5% biodiesel content in the State’s heating oil. </w:t>
      </w:r>
      <w:r w:rsidR="00415FE2">
        <w:t xml:space="preserve">Oregon and Washington states have also their versions of the LCFS. </w:t>
      </w:r>
      <w:r w:rsidRPr="006A2E3D">
        <w:t xml:space="preserve">Minnesota </w:t>
      </w:r>
      <w:r w:rsidR="003F5924">
        <w:t xml:space="preserve">and a number of other states </w:t>
      </w:r>
      <w:r w:rsidR="00F42216">
        <w:t xml:space="preserve">plus Canada </w:t>
      </w:r>
      <w:r w:rsidR="003F5924">
        <w:t>are</w:t>
      </w:r>
      <w:r>
        <w:t xml:space="preserve"> </w:t>
      </w:r>
      <w:r w:rsidRPr="006A2E3D">
        <w:t xml:space="preserve">considering similar policies. </w:t>
      </w:r>
    </w:p>
    <w:p w14:paraId="1780C178" w14:textId="19CA1027" w:rsidR="00023BBB" w:rsidRDefault="006B5915" w:rsidP="006B2655">
      <w:pPr>
        <w:spacing w:line="300" w:lineRule="auto"/>
      </w:pPr>
      <w:r>
        <w:rPr>
          <w:b/>
          <w:sz w:val="24"/>
          <w:szCs w:val="24"/>
          <w:u w:val="single"/>
        </w:rPr>
        <w:t>Joint Venture Partnership</w:t>
      </w:r>
      <w:r w:rsidR="00584A79">
        <w:rPr>
          <w:b/>
          <w:sz w:val="24"/>
          <w:szCs w:val="24"/>
          <w:u w:val="single"/>
        </w:rPr>
        <w:t xml:space="preserve"> </w:t>
      </w:r>
      <w:r w:rsidR="00B63EB1">
        <w:rPr>
          <w:b/>
          <w:sz w:val="24"/>
          <w:szCs w:val="24"/>
          <w:u w:val="single"/>
        </w:rPr>
        <w:br/>
      </w:r>
      <w:r w:rsidR="00B63EB1" w:rsidRPr="006837A6">
        <w:rPr>
          <w:sz w:val="24"/>
          <w:szCs w:val="24"/>
        </w:rPr>
        <w:t>A</w:t>
      </w:r>
      <w:r w:rsidR="0018457B">
        <w:t xml:space="preserve">s </w:t>
      </w:r>
      <w:r w:rsidR="003F5924">
        <w:t>noted</w:t>
      </w:r>
      <w:r w:rsidR="0018457B">
        <w:t xml:space="preserve">, </w:t>
      </w:r>
      <w:r w:rsidR="00924DA0">
        <w:t>the Company</w:t>
      </w:r>
      <w:r w:rsidR="00360681">
        <w:t xml:space="preserve"> </w:t>
      </w:r>
      <w:r w:rsidR="0018457B">
        <w:t xml:space="preserve">will be comprised of </w:t>
      </w:r>
      <w:r w:rsidR="003F5924">
        <w:t>several</w:t>
      </w:r>
      <w:r w:rsidR="0018457B">
        <w:t xml:space="preserve"> partners</w:t>
      </w:r>
      <w:r w:rsidR="005C2A29">
        <w:t>, e</w:t>
      </w:r>
      <w:r w:rsidR="0018457B">
        <w:t>ach bring</w:t>
      </w:r>
      <w:r w:rsidR="00412CF6">
        <w:t>ing</w:t>
      </w:r>
      <w:r w:rsidR="0018457B">
        <w:t xml:space="preserve"> their own expertise and contributions</w:t>
      </w:r>
      <w:r w:rsidR="00EF4558">
        <w:t xml:space="preserve"> </w:t>
      </w:r>
      <w:r w:rsidR="003F5924">
        <w:t xml:space="preserve">to create a chain </w:t>
      </w:r>
      <w:r w:rsidR="003F5924" w:rsidRPr="003F5924">
        <w:t>of</w:t>
      </w:r>
      <w:r w:rsidR="003F5924">
        <w:t xml:space="preserve"> S</w:t>
      </w:r>
      <w:r w:rsidR="003F5924" w:rsidRPr="003F5924">
        <w:rPr>
          <w:i/>
        </w:rPr>
        <w:t>uper</w:t>
      </w:r>
      <w:r w:rsidR="003F5924">
        <w:t xml:space="preserve"> biodiesel plants</w:t>
      </w:r>
      <w:r w:rsidR="00584A79">
        <w:t xml:space="preserve"> </w:t>
      </w:r>
      <w:r w:rsidR="00400937">
        <w:t xml:space="preserve">on a joint venture basis </w:t>
      </w:r>
      <w:r w:rsidR="00584A79">
        <w:t xml:space="preserve">with </w:t>
      </w:r>
      <w:r w:rsidR="00031597">
        <w:t xml:space="preserve">the </w:t>
      </w:r>
      <w:r w:rsidR="00584A79">
        <w:t xml:space="preserve">actual plant operators </w:t>
      </w:r>
      <w:r w:rsidR="00031597">
        <w:t>who could be ethanol plant, biodiesel plant, diesel refinery and other owners</w:t>
      </w:r>
      <w:r w:rsidR="00584A79">
        <w:t>(see diagram)</w:t>
      </w:r>
      <w:r w:rsidR="005C2A29">
        <w:t>:</w:t>
      </w:r>
    </w:p>
    <w:p w14:paraId="418AE52C" w14:textId="77777777" w:rsidR="005C2A29" w:rsidRDefault="005C2A29" w:rsidP="00F052C7">
      <w:pPr>
        <w:spacing w:line="300" w:lineRule="auto"/>
        <w:ind w:hanging="900"/>
      </w:pPr>
      <w:r>
        <w:t xml:space="preserve">            </w:t>
      </w:r>
      <w:r w:rsidR="00545415">
        <w:t xml:space="preserve">                 </w:t>
      </w:r>
      <w:r>
        <w:t xml:space="preserve">   </w:t>
      </w:r>
      <w:r w:rsidR="00310CE1">
        <w:rPr>
          <w:rFonts w:eastAsia="Times New Roman" w:cs="Times New Roman"/>
          <w:noProof/>
          <w:sz w:val="24"/>
          <w:szCs w:val="24"/>
        </w:rPr>
        <w:drawing>
          <wp:inline distT="0" distB="0" distL="0" distR="0" wp14:anchorId="66B3C55F" wp14:editId="19A7C8B2">
            <wp:extent cx="5124450" cy="3209925"/>
            <wp:effectExtent l="0" t="38100" r="0" b="47625"/>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88694E4" w14:textId="77777777" w:rsidR="00050D2C" w:rsidRDefault="00050D2C" w:rsidP="00F052C7">
      <w:pPr>
        <w:spacing w:line="300" w:lineRule="auto"/>
        <w:ind w:hanging="900"/>
      </w:pPr>
    </w:p>
    <w:p w14:paraId="2E0AA261" w14:textId="1735EA4D" w:rsidR="0027075C" w:rsidRDefault="00C529E5" w:rsidP="00584A79">
      <w:pPr>
        <w:spacing w:line="300" w:lineRule="auto"/>
        <w:ind w:left="360"/>
        <w:rPr>
          <w:color w:val="000000" w:themeColor="text1"/>
        </w:rPr>
      </w:pPr>
      <w:r w:rsidRPr="00584A79">
        <w:t>Jatro Renewables</w:t>
      </w:r>
      <w:r w:rsidR="0018457B">
        <w:t xml:space="preserve"> will take the lead role in the project</w:t>
      </w:r>
      <w:r w:rsidR="00A61F80">
        <w:t xml:space="preserve"> including a</w:t>
      </w:r>
      <w:r w:rsidR="00031597">
        <w:t>n internal</w:t>
      </w:r>
      <w:r w:rsidR="00A61F80">
        <w:t xml:space="preserve"> </w:t>
      </w:r>
      <w:r w:rsidR="00584A79">
        <w:t>R&amp;D</w:t>
      </w:r>
      <w:r w:rsidR="00A61F80">
        <w:t xml:space="preserve"> plan for </w:t>
      </w:r>
      <w:r w:rsidR="003F5924">
        <w:t>BD plants</w:t>
      </w:r>
      <w:r w:rsidR="00A61F80">
        <w:t xml:space="preserve"> which will eventually encompass adding a front end process to covert cellulosic biomass (woody biomass, forest slash, grasses etc.) into oils, and used in the existing </w:t>
      </w:r>
      <w:r w:rsidR="000D1B30">
        <w:t>B</w:t>
      </w:r>
      <w:r w:rsidR="00A61F80">
        <w:t xml:space="preserve">D plants. </w:t>
      </w:r>
      <w:r w:rsidR="00A61F80">
        <w:br/>
      </w:r>
    </w:p>
    <w:p w14:paraId="2182FC98" w14:textId="77777777" w:rsidR="000A6CDA" w:rsidRDefault="000A6CDA" w:rsidP="00584A79">
      <w:pPr>
        <w:spacing w:line="300" w:lineRule="auto"/>
        <w:ind w:left="360"/>
        <w:rPr>
          <w:color w:val="000000" w:themeColor="text1"/>
        </w:rPr>
      </w:pPr>
    </w:p>
    <w:p w14:paraId="69043BE0" w14:textId="77777777" w:rsidR="00584A79" w:rsidRDefault="00584A79" w:rsidP="00584A79">
      <w:pPr>
        <w:spacing w:line="300" w:lineRule="auto"/>
        <w:ind w:left="360"/>
        <w:rPr>
          <w:color w:val="000000" w:themeColor="text1"/>
        </w:rPr>
      </w:pPr>
    </w:p>
    <w:p w14:paraId="6279FC01" w14:textId="77777777" w:rsidR="00584A79" w:rsidRDefault="00584A79" w:rsidP="00584A79">
      <w:pPr>
        <w:spacing w:line="300" w:lineRule="auto"/>
        <w:ind w:left="360"/>
        <w:rPr>
          <w:color w:val="000000" w:themeColor="text1"/>
        </w:rPr>
      </w:pPr>
    </w:p>
    <w:p w14:paraId="44570204" w14:textId="379438D9" w:rsidR="00584A79" w:rsidRPr="00E44D19" w:rsidRDefault="00B92D56" w:rsidP="00584A79">
      <w:pPr>
        <w:spacing w:line="300" w:lineRule="auto"/>
        <w:ind w:left="360"/>
        <w:rPr>
          <w:b/>
          <w:color w:val="000000" w:themeColor="text1"/>
          <w:sz w:val="24"/>
          <w:szCs w:val="24"/>
          <w:u w:val="single"/>
        </w:rPr>
      </w:pPr>
      <w:r>
        <w:rPr>
          <w:b/>
          <w:color w:val="000000" w:themeColor="text1"/>
          <w:sz w:val="24"/>
          <w:szCs w:val="24"/>
          <w:u w:val="single"/>
        </w:rPr>
        <w:lastRenderedPageBreak/>
        <w:br/>
      </w:r>
      <w:r>
        <w:rPr>
          <w:b/>
          <w:color w:val="000000" w:themeColor="text1"/>
          <w:sz w:val="24"/>
          <w:szCs w:val="24"/>
          <w:u w:val="single"/>
        </w:rPr>
        <w:br/>
      </w:r>
      <w:r w:rsidR="00584A79" w:rsidRPr="00E44D19">
        <w:rPr>
          <w:b/>
          <w:color w:val="000000" w:themeColor="text1"/>
          <w:sz w:val="24"/>
          <w:szCs w:val="24"/>
          <w:u w:val="single"/>
        </w:rPr>
        <w:t>Project Summary</w:t>
      </w:r>
    </w:p>
    <w:p w14:paraId="58F53CBA" w14:textId="77777777" w:rsidR="0027075C" w:rsidRDefault="00924DA0" w:rsidP="00D701DB">
      <w:pPr>
        <w:pStyle w:val="ListParagraph"/>
        <w:numPr>
          <w:ilvl w:val="0"/>
          <w:numId w:val="4"/>
        </w:numPr>
        <w:spacing w:line="300" w:lineRule="auto"/>
        <w:rPr>
          <w:color w:val="000000" w:themeColor="text1"/>
        </w:rPr>
      </w:pPr>
      <w:r>
        <w:rPr>
          <w:b/>
          <w:color w:val="000000" w:themeColor="text1"/>
        </w:rPr>
        <w:t>The Company</w:t>
      </w:r>
      <w:r w:rsidR="0027075C" w:rsidRPr="0082654D">
        <w:rPr>
          <w:b/>
          <w:color w:val="000000" w:themeColor="text1"/>
        </w:rPr>
        <w:t xml:space="preserve"> plans to build and operate multiple plants</w:t>
      </w:r>
      <w:r w:rsidR="0027075C">
        <w:rPr>
          <w:color w:val="000000" w:themeColor="text1"/>
        </w:rPr>
        <w:t>,</w:t>
      </w:r>
      <w:r w:rsidR="0027075C" w:rsidRPr="007C06EA">
        <w:rPr>
          <w:color w:val="000000" w:themeColor="text1"/>
        </w:rPr>
        <w:t xml:space="preserve"> and </w:t>
      </w:r>
      <w:r w:rsidR="0027075C">
        <w:rPr>
          <w:color w:val="000000" w:themeColor="text1"/>
        </w:rPr>
        <w:t xml:space="preserve">strategically </w:t>
      </w:r>
      <w:r w:rsidR="0027075C" w:rsidRPr="007C06EA">
        <w:rPr>
          <w:color w:val="000000" w:themeColor="text1"/>
        </w:rPr>
        <w:t>located as close to feedstocks and end-user markets as possible</w:t>
      </w:r>
    </w:p>
    <w:p w14:paraId="53278D47" w14:textId="4B62B5DD" w:rsidR="0027075C" w:rsidRPr="003D2C29" w:rsidRDefault="0031569C" w:rsidP="00D701DB">
      <w:pPr>
        <w:pStyle w:val="ListParagraph"/>
        <w:numPr>
          <w:ilvl w:val="0"/>
          <w:numId w:val="4"/>
        </w:numPr>
        <w:spacing w:line="300" w:lineRule="auto"/>
        <w:rPr>
          <w:i/>
          <w:color w:val="000000" w:themeColor="text1"/>
        </w:rPr>
      </w:pPr>
      <w:r>
        <w:rPr>
          <w:b/>
          <w:color w:val="000000" w:themeColor="text1"/>
        </w:rPr>
        <w:t xml:space="preserve">The </w:t>
      </w:r>
      <w:r w:rsidR="003F5924">
        <w:rPr>
          <w:b/>
          <w:color w:val="000000" w:themeColor="text1"/>
        </w:rPr>
        <w:t>Super</w:t>
      </w:r>
      <w:r>
        <w:rPr>
          <w:b/>
          <w:color w:val="000000" w:themeColor="text1"/>
        </w:rPr>
        <w:t xml:space="preserve"> technology has an advantage over its competitors </w:t>
      </w:r>
      <w:r w:rsidRPr="003F5924">
        <w:rPr>
          <w:color w:val="000000" w:themeColor="text1"/>
        </w:rPr>
        <w:t>by</w:t>
      </w:r>
      <w:r w:rsidR="0027075C">
        <w:rPr>
          <w:color w:val="000000" w:themeColor="text1"/>
        </w:rPr>
        <w:t xml:space="preserve"> </w:t>
      </w:r>
      <w:r>
        <w:rPr>
          <w:color w:val="000000" w:themeColor="text1"/>
        </w:rPr>
        <w:t>providing a p</w:t>
      </w:r>
      <w:r w:rsidR="0027075C">
        <w:rPr>
          <w:color w:val="000000" w:themeColor="text1"/>
        </w:rPr>
        <w:t xml:space="preserve">articularly </w:t>
      </w:r>
      <w:r>
        <w:rPr>
          <w:color w:val="000000" w:themeColor="text1"/>
        </w:rPr>
        <w:t xml:space="preserve">simple process that is less costly to operate, with scalable throughput from </w:t>
      </w:r>
      <w:r w:rsidR="00FD1EDE">
        <w:rPr>
          <w:color w:val="000000" w:themeColor="text1"/>
        </w:rPr>
        <w:t>15</w:t>
      </w:r>
      <w:r>
        <w:rPr>
          <w:color w:val="000000" w:themeColor="text1"/>
        </w:rPr>
        <w:t xml:space="preserve"> to </w:t>
      </w:r>
      <w:r w:rsidR="00945F83">
        <w:rPr>
          <w:color w:val="000000" w:themeColor="text1"/>
        </w:rPr>
        <w:t>10</w:t>
      </w:r>
      <w:r>
        <w:rPr>
          <w:color w:val="000000" w:themeColor="text1"/>
        </w:rPr>
        <w:t>0</w:t>
      </w:r>
      <w:r w:rsidR="003F5924">
        <w:rPr>
          <w:color w:val="000000" w:themeColor="text1"/>
        </w:rPr>
        <w:t>mmgy</w:t>
      </w:r>
    </w:p>
    <w:p w14:paraId="2F63B13D" w14:textId="77777777" w:rsidR="0027075C" w:rsidRPr="006F4418" w:rsidRDefault="0031569C" w:rsidP="00924149">
      <w:pPr>
        <w:pStyle w:val="ListParagraph"/>
        <w:numPr>
          <w:ilvl w:val="0"/>
          <w:numId w:val="4"/>
        </w:numPr>
        <w:spacing w:line="300" w:lineRule="auto"/>
        <w:rPr>
          <w:rStyle w:val="st"/>
          <w:color w:val="000000" w:themeColor="text1"/>
        </w:rPr>
      </w:pPr>
      <w:r w:rsidRPr="006F4418">
        <w:rPr>
          <w:rStyle w:val="st"/>
          <w:b/>
        </w:rPr>
        <w:t xml:space="preserve">The </w:t>
      </w:r>
      <w:r w:rsidR="003F5924">
        <w:rPr>
          <w:rStyle w:val="st"/>
          <w:b/>
        </w:rPr>
        <w:t>Super</w:t>
      </w:r>
      <w:r w:rsidR="0027075C" w:rsidRPr="006F4418">
        <w:rPr>
          <w:rStyle w:val="st"/>
          <w:b/>
        </w:rPr>
        <w:t xml:space="preserve"> process utilizes </w:t>
      </w:r>
      <w:r w:rsidR="003F5924">
        <w:rPr>
          <w:rStyle w:val="st"/>
          <w:b/>
        </w:rPr>
        <w:t>a</w:t>
      </w:r>
      <w:r w:rsidR="0027075C" w:rsidRPr="006F4418">
        <w:rPr>
          <w:rStyle w:val="st"/>
          <w:b/>
        </w:rPr>
        <w:t xml:space="preserve"> unique patent</w:t>
      </w:r>
      <w:r w:rsidR="0027075C">
        <w:rPr>
          <w:rStyle w:val="st"/>
        </w:rPr>
        <w:t xml:space="preserve">, </w:t>
      </w:r>
      <w:r w:rsidR="003F5924">
        <w:rPr>
          <w:rStyle w:val="st"/>
        </w:rPr>
        <w:t xml:space="preserve">and is in full force for at least two </w:t>
      </w:r>
      <w:r w:rsidR="00945F83">
        <w:rPr>
          <w:rStyle w:val="st"/>
        </w:rPr>
        <w:t xml:space="preserve">more </w:t>
      </w:r>
      <w:r w:rsidR="003F5924">
        <w:rPr>
          <w:rStyle w:val="st"/>
        </w:rPr>
        <w:t>years</w:t>
      </w:r>
    </w:p>
    <w:p w14:paraId="1E933FD6" w14:textId="143167C0" w:rsidR="0027075C" w:rsidRPr="00CE0C00" w:rsidRDefault="0027075C" w:rsidP="00D701DB">
      <w:pPr>
        <w:pStyle w:val="ListParagraph"/>
        <w:numPr>
          <w:ilvl w:val="0"/>
          <w:numId w:val="4"/>
        </w:numPr>
        <w:spacing w:line="300" w:lineRule="auto"/>
        <w:rPr>
          <w:rStyle w:val="st"/>
          <w:color w:val="000000" w:themeColor="text1"/>
        </w:rPr>
      </w:pPr>
      <w:r>
        <w:rPr>
          <w:b/>
          <w:color w:val="000000" w:themeColor="text1"/>
        </w:rPr>
        <w:t xml:space="preserve">Low cost production. </w:t>
      </w:r>
      <w:r>
        <w:rPr>
          <w:color w:val="000000" w:themeColor="text1"/>
        </w:rPr>
        <w:t>T</w:t>
      </w:r>
      <w:r>
        <w:rPr>
          <w:rStyle w:val="st"/>
        </w:rPr>
        <w:t xml:space="preserve">he </w:t>
      </w:r>
      <w:r w:rsidR="003F5924" w:rsidRPr="003F5924">
        <w:rPr>
          <w:rStyle w:val="st"/>
          <w:i/>
        </w:rPr>
        <w:t>Super</w:t>
      </w:r>
      <w:r>
        <w:rPr>
          <w:rStyle w:val="st"/>
        </w:rPr>
        <w:t xml:space="preserve"> plant, versus other </w:t>
      </w:r>
      <w:r w:rsidR="003F5924">
        <w:rPr>
          <w:rStyle w:val="st"/>
        </w:rPr>
        <w:t xml:space="preserve">biodiesel </w:t>
      </w:r>
      <w:r>
        <w:rPr>
          <w:rStyle w:val="st"/>
        </w:rPr>
        <w:t xml:space="preserve">technologies, </w:t>
      </w:r>
      <w:r w:rsidR="006D10E5">
        <w:rPr>
          <w:rStyle w:val="st"/>
        </w:rPr>
        <w:t xml:space="preserve">will </w:t>
      </w:r>
      <w:r>
        <w:rPr>
          <w:rStyle w:val="st"/>
        </w:rPr>
        <w:t>use less carbon intensive feedstocks</w:t>
      </w:r>
      <w:r w:rsidR="006D10E5">
        <w:rPr>
          <w:rStyle w:val="st"/>
        </w:rPr>
        <w:t>;</w:t>
      </w:r>
      <w:r>
        <w:rPr>
          <w:rStyle w:val="st"/>
        </w:rPr>
        <w:t xml:space="preserve"> </w:t>
      </w:r>
      <w:r w:rsidR="006D10E5">
        <w:rPr>
          <w:rStyle w:val="st"/>
        </w:rPr>
        <w:t xml:space="preserve">allow up to 100% free fatty acid feedstocks; </w:t>
      </w:r>
      <w:r>
        <w:rPr>
          <w:rStyle w:val="st"/>
        </w:rPr>
        <w:t xml:space="preserve">and </w:t>
      </w:r>
      <w:r w:rsidR="006D10E5">
        <w:rPr>
          <w:rStyle w:val="st"/>
        </w:rPr>
        <w:t xml:space="preserve">because no catalyst is ever used, </w:t>
      </w:r>
      <w:r w:rsidR="000D1736">
        <w:rPr>
          <w:rStyle w:val="st"/>
        </w:rPr>
        <w:t xml:space="preserve">the by-product glycerin </w:t>
      </w:r>
      <w:r w:rsidR="006D10E5">
        <w:rPr>
          <w:rStyle w:val="st"/>
        </w:rPr>
        <w:t>is worth double the value of traditionally produced biodiesel</w:t>
      </w:r>
      <w:bookmarkStart w:id="1" w:name="_GoBack"/>
      <w:bookmarkEnd w:id="1"/>
    </w:p>
    <w:p w14:paraId="1204C3F2" w14:textId="5AAE8BE8" w:rsidR="006F4418" w:rsidRPr="006F4418" w:rsidRDefault="0027075C" w:rsidP="00924149">
      <w:pPr>
        <w:pStyle w:val="ListParagraph"/>
        <w:numPr>
          <w:ilvl w:val="0"/>
          <w:numId w:val="4"/>
        </w:numPr>
        <w:spacing w:line="300" w:lineRule="auto"/>
        <w:rPr>
          <w:rStyle w:val="st"/>
          <w:color w:val="000000" w:themeColor="text1"/>
        </w:rPr>
      </w:pPr>
      <w:r w:rsidRPr="006F4418">
        <w:rPr>
          <w:b/>
          <w:color w:val="000000" w:themeColor="text1"/>
        </w:rPr>
        <w:t xml:space="preserve">When co-locating </w:t>
      </w:r>
      <w:r w:rsidR="006D10E5">
        <w:rPr>
          <w:b/>
          <w:color w:val="000000" w:themeColor="text1"/>
        </w:rPr>
        <w:t xml:space="preserve">at </w:t>
      </w:r>
      <w:r w:rsidRPr="006F4418">
        <w:rPr>
          <w:b/>
          <w:color w:val="000000" w:themeColor="text1"/>
        </w:rPr>
        <w:t xml:space="preserve">an </w:t>
      </w:r>
      <w:r w:rsidR="006D10E5">
        <w:rPr>
          <w:b/>
          <w:color w:val="000000" w:themeColor="text1"/>
        </w:rPr>
        <w:t xml:space="preserve">ethanol facility, </w:t>
      </w:r>
      <w:r w:rsidR="006D10E5" w:rsidRPr="006D10E5">
        <w:rPr>
          <w:color w:val="000000" w:themeColor="text1"/>
        </w:rPr>
        <w:t xml:space="preserve">plant and operating costs </w:t>
      </w:r>
      <w:r w:rsidR="006D10E5">
        <w:rPr>
          <w:color w:val="000000" w:themeColor="text1"/>
        </w:rPr>
        <w:t>are largely</w:t>
      </w:r>
      <w:r>
        <w:rPr>
          <w:rStyle w:val="st"/>
        </w:rPr>
        <w:t xml:space="preserve"> mitigated by sharing existing assets</w:t>
      </w:r>
      <w:r w:rsidR="006D10E5">
        <w:rPr>
          <w:rStyle w:val="st"/>
        </w:rPr>
        <w:t xml:space="preserve"> (yet plant is designed to always operate autonomously when required</w:t>
      </w:r>
      <w:r w:rsidR="00B5536E">
        <w:rPr>
          <w:rStyle w:val="st"/>
        </w:rPr>
        <w:t>)</w:t>
      </w:r>
    </w:p>
    <w:p w14:paraId="5BDDCE2A" w14:textId="401E7A57" w:rsidR="0027075C" w:rsidRPr="006F4418" w:rsidRDefault="0027075C" w:rsidP="00924149">
      <w:pPr>
        <w:pStyle w:val="ListParagraph"/>
        <w:numPr>
          <w:ilvl w:val="0"/>
          <w:numId w:val="4"/>
        </w:numPr>
        <w:spacing w:line="300" w:lineRule="auto"/>
        <w:rPr>
          <w:color w:val="000000" w:themeColor="text1"/>
        </w:rPr>
      </w:pPr>
      <w:r w:rsidRPr="006F4418">
        <w:rPr>
          <w:b/>
          <w:color w:val="000000" w:themeColor="text1"/>
        </w:rPr>
        <w:t xml:space="preserve">Market dynamics will dictate the volume of </w:t>
      </w:r>
      <w:r w:rsidR="006D10E5">
        <w:rPr>
          <w:b/>
          <w:color w:val="000000" w:themeColor="text1"/>
        </w:rPr>
        <w:t xml:space="preserve">biodiesel </w:t>
      </w:r>
      <w:r w:rsidRPr="006F4418">
        <w:rPr>
          <w:b/>
          <w:color w:val="000000" w:themeColor="text1"/>
        </w:rPr>
        <w:t>produced</w:t>
      </w:r>
      <w:r w:rsidRPr="006F4418">
        <w:rPr>
          <w:color w:val="000000" w:themeColor="text1"/>
        </w:rPr>
        <w:t xml:space="preserve"> </w:t>
      </w:r>
    </w:p>
    <w:p w14:paraId="673B0463" w14:textId="77777777" w:rsidR="0027075C" w:rsidRPr="00770307" w:rsidRDefault="0027075C" w:rsidP="00D701DB">
      <w:pPr>
        <w:pStyle w:val="ListParagraph"/>
        <w:numPr>
          <w:ilvl w:val="0"/>
          <w:numId w:val="4"/>
        </w:numPr>
        <w:spacing w:line="300" w:lineRule="auto"/>
        <w:rPr>
          <w:color w:val="000000" w:themeColor="text1"/>
        </w:rPr>
      </w:pPr>
      <w:r w:rsidRPr="00770307">
        <w:rPr>
          <w:b/>
          <w:color w:val="000000" w:themeColor="text1"/>
        </w:rPr>
        <w:t xml:space="preserve">Within 3 to 5 years, </w:t>
      </w:r>
      <w:r w:rsidR="00924DA0">
        <w:rPr>
          <w:b/>
          <w:color w:val="000000" w:themeColor="text1"/>
        </w:rPr>
        <w:t>the Company</w:t>
      </w:r>
      <w:r w:rsidRPr="00770307">
        <w:rPr>
          <w:b/>
          <w:color w:val="000000" w:themeColor="text1"/>
        </w:rPr>
        <w:t xml:space="preserve"> plans to augment its existing plants</w:t>
      </w:r>
      <w:r w:rsidRPr="00770307">
        <w:rPr>
          <w:color w:val="000000" w:themeColor="text1"/>
        </w:rPr>
        <w:t xml:space="preserve"> with a front-end procedure to extract oils from woody biomass (forest slash, wood chips, used lumber etc.).  It is envisioned this technology will be licensed from one of several promising technologies </w:t>
      </w:r>
      <w:r w:rsidR="006D10E5">
        <w:rPr>
          <w:color w:val="000000" w:themeColor="text1"/>
        </w:rPr>
        <w:t>soon</w:t>
      </w:r>
      <w:r w:rsidRPr="00770307">
        <w:rPr>
          <w:color w:val="000000" w:themeColor="text1"/>
        </w:rPr>
        <w:t xml:space="preserve"> </w:t>
      </w:r>
      <w:r w:rsidR="006D10E5">
        <w:rPr>
          <w:color w:val="000000" w:themeColor="text1"/>
        </w:rPr>
        <w:t xml:space="preserve">to be </w:t>
      </w:r>
      <w:r w:rsidRPr="00770307">
        <w:rPr>
          <w:color w:val="000000" w:themeColor="text1"/>
        </w:rPr>
        <w:t>reaching the commercial stage</w:t>
      </w:r>
      <w:r w:rsidR="00FC7C52" w:rsidRPr="00770307">
        <w:rPr>
          <w:color w:val="000000" w:themeColor="text1"/>
        </w:rPr>
        <w:t xml:space="preserve"> </w:t>
      </w:r>
    </w:p>
    <w:p w14:paraId="5E242FB7" w14:textId="65C81F9C" w:rsidR="0027075C" w:rsidRDefault="0027075C" w:rsidP="00D701DB">
      <w:pPr>
        <w:pStyle w:val="ListParagraph"/>
        <w:numPr>
          <w:ilvl w:val="0"/>
          <w:numId w:val="4"/>
        </w:numPr>
        <w:spacing w:line="300" w:lineRule="auto"/>
        <w:rPr>
          <w:color w:val="000000" w:themeColor="text1"/>
        </w:rPr>
      </w:pPr>
      <w:r>
        <w:rPr>
          <w:b/>
          <w:color w:val="000000" w:themeColor="text1"/>
        </w:rPr>
        <w:t>P</w:t>
      </w:r>
      <w:r w:rsidRPr="0082654D">
        <w:rPr>
          <w:b/>
          <w:color w:val="000000" w:themeColor="text1"/>
        </w:rPr>
        <w:t>lant</w:t>
      </w:r>
      <w:r>
        <w:rPr>
          <w:b/>
          <w:color w:val="000000" w:themeColor="text1"/>
        </w:rPr>
        <w:t xml:space="preserve">s will </w:t>
      </w:r>
      <w:r w:rsidRPr="0082654D">
        <w:rPr>
          <w:b/>
          <w:color w:val="000000" w:themeColor="text1"/>
        </w:rPr>
        <w:t xml:space="preserve">need about </w:t>
      </w:r>
      <w:r w:rsidR="00B5536E">
        <w:rPr>
          <w:b/>
          <w:color w:val="000000" w:themeColor="text1"/>
        </w:rPr>
        <w:t>2</w:t>
      </w:r>
      <w:r w:rsidR="0031569C">
        <w:rPr>
          <w:b/>
          <w:color w:val="000000" w:themeColor="text1"/>
        </w:rPr>
        <w:t xml:space="preserve">0 to </w:t>
      </w:r>
      <w:r w:rsidR="00B5536E">
        <w:rPr>
          <w:b/>
          <w:color w:val="000000" w:themeColor="text1"/>
        </w:rPr>
        <w:t>4</w:t>
      </w:r>
      <w:r w:rsidRPr="0082654D">
        <w:rPr>
          <w:b/>
          <w:color w:val="000000" w:themeColor="text1"/>
        </w:rPr>
        <w:t>0 full-time personnel</w:t>
      </w:r>
      <w:r>
        <w:rPr>
          <w:color w:val="000000" w:themeColor="text1"/>
        </w:rPr>
        <w:t xml:space="preserve"> for production and back office. In the construction phase </w:t>
      </w:r>
      <w:r w:rsidR="00B5536E">
        <w:rPr>
          <w:color w:val="000000" w:themeColor="text1"/>
        </w:rPr>
        <w:t xml:space="preserve">(15 months) </w:t>
      </w:r>
      <w:r>
        <w:rPr>
          <w:color w:val="000000" w:themeColor="text1"/>
        </w:rPr>
        <w:t xml:space="preserve">approximately 80 personnel in various trades will be required </w:t>
      </w:r>
    </w:p>
    <w:p w14:paraId="2D4772F2" w14:textId="46B68C4E" w:rsidR="0027075C" w:rsidRPr="00572180" w:rsidRDefault="0027075C" w:rsidP="00D701DB">
      <w:pPr>
        <w:pStyle w:val="ListParagraph"/>
        <w:numPr>
          <w:ilvl w:val="0"/>
          <w:numId w:val="4"/>
        </w:numPr>
        <w:spacing w:line="300" w:lineRule="auto"/>
        <w:rPr>
          <w:color w:val="000000" w:themeColor="text1"/>
        </w:rPr>
      </w:pPr>
      <w:r w:rsidRPr="00572180">
        <w:rPr>
          <w:b/>
          <w:color w:val="000000" w:themeColor="text1"/>
        </w:rPr>
        <w:t>Using conservative assumptions</w:t>
      </w:r>
      <w:r>
        <w:rPr>
          <w:b/>
          <w:color w:val="000000" w:themeColor="text1"/>
        </w:rPr>
        <w:t xml:space="preserve"> for </w:t>
      </w:r>
      <w:r w:rsidR="00B5536E">
        <w:rPr>
          <w:b/>
          <w:color w:val="000000" w:themeColor="text1"/>
        </w:rPr>
        <w:t>a</w:t>
      </w:r>
      <w:r>
        <w:rPr>
          <w:b/>
          <w:color w:val="000000" w:themeColor="text1"/>
        </w:rPr>
        <w:t xml:space="preserve"> new </w:t>
      </w:r>
      <w:r w:rsidR="006D10E5">
        <w:rPr>
          <w:b/>
          <w:color w:val="000000" w:themeColor="text1"/>
        </w:rPr>
        <w:t>25</w:t>
      </w:r>
      <w:r>
        <w:rPr>
          <w:b/>
          <w:color w:val="000000" w:themeColor="text1"/>
        </w:rPr>
        <w:t>MMgy plant</w:t>
      </w:r>
      <w:r w:rsidRPr="00572180">
        <w:rPr>
          <w:color w:val="000000" w:themeColor="text1"/>
        </w:rPr>
        <w:t xml:space="preserve">, </w:t>
      </w:r>
      <w:r w:rsidR="00B5536E">
        <w:rPr>
          <w:color w:val="000000" w:themeColor="text1"/>
        </w:rPr>
        <w:t xml:space="preserve">it </w:t>
      </w:r>
      <w:r w:rsidRPr="00572180">
        <w:rPr>
          <w:color w:val="000000" w:themeColor="text1"/>
        </w:rPr>
        <w:t xml:space="preserve">will produce approximately </w:t>
      </w:r>
      <w:r w:rsidR="006D10E5">
        <w:rPr>
          <w:color w:val="000000" w:themeColor="text1"/>
        </w:rPr>
        <w:t>15</w:t>
      </w:r>
      <w:r w:rsidRPr="00572180">
        <w:rPr>
          <w:color w:val="000000" w:themeColor="text1"/>
        </w:rPr>
        <w:t>m gallons in the first year (</w:t>
      </w:r>
      <w:r w:rsidR="006D10E5">
        <w:rPr>
          <w:color w:val="000000" w:themeColor="text1"/>
        </w:rPr>
        <w:t>6</w:t>
      </w:r>
      <w:r w:rsidRPr="00572180">
        <w:rPr>
          <w:color w:val="000000" w:themeColor="text1"/>
        </w:rPr>
        <w:t xml:space="preserve">0% of full </w:t>
      </w:r>
      <w:r>
        <w:rPr>
          <w:color w:val="000000" w:themeColor="text1"/>
        </w:rPr>
        <w:t>throughput</w:t>
      </w:r>
      <w:r w:rsidRPr="00572180">
        <w:rPr>
          <w:color w:val="000000" w:themeColor="text1"/>
        </w:rPr>
        <w:t xml:space="preserve">); and with stabilization in the second and subsequent years 90% to 100% of </w:t>
      </w:r>
      <w:r>
        <w:rPr>
          <w:color w:val="000000" w:themeColor="text1"/>
        </w:rPr>
        <w:t>nameplate</w:t>
      </w:r>
      <w:r w:rsidR="006D10E5">
        <w:rPr>
          <w:color w:val="000000" w:themeColor="text1"/>
        </w:rPr>
        <w:t xml:space="preserve"> consistently</w:t>
      </w:r>
    </w:p>
    <w:p w14:paraId="2911843C" w14:textId="1EF75E85" w:rsidR="0027075C" w:rsidRDefault="0027075C" w:rsidP="00D701DB">
      <w:pPr>
        <w:pStyle w:val="ListParagraph"/>
        <w:numPr>
          <w:ilvl w:val="0"/>
          <w:numId w:val="4"/>
        </w:numPr>
        <w:spacing w:line="300" w:lineRule="auto"/>
        <w:rPr>
          <w:color w:val="000000" w:themeColor="text1"/>
        </w:rPr>
      </w:pPr>
      <w:r w:rsidRPr="0082654D">
        <w:rPr>
          <w:b/>
          <w:color w:val="000000" w:themeColor="text1"/>
        </w:rPr>
        <w:t xml:space="preserve">Production volumes translate to </w:t>
      </w:r>
      <w:r w:rsidR="00931C9F">
        <w:rPr>
          <w:b/>
          <w:color w:val="000000" w:themeColor="text1"/>
        </w:rPr>
        <w:t xml:space="preserve">a </w:t>
      </w:r>
      <w:r w:rsidRPr="0082654D">
        <w:rPr>
          <w:b/>
          <w:color w:val="000000" w:themeColor="text1"/>
        </w:rPr>
        <w:t>first year total revenue of $</w:t>
      </w:r>
      <w:r w:rsidR="00EB0BC4">
        <w:rPr>
          <w:b/>
          <w:color w:val="000000" w:themeColor="text1"/>
        </w:rPr>
        <w:t>51</w:t>
      </w:r>
      <w:r w:rsidRPr="0082654D">
        <w:rPr>
          <w:b/>
          <w:color w:val="000000" w:themeColor="text1"/>
        </w:rPr>
        <w:t>,</w:t>
      </w:r>
      <w:r w:rsidR="00EB0BC4">
        <w:rPr>
          <w:b/>
          <w:color w:val="000000" w:themeColor="text1"/>
        </w:rPr>
        <w:t>6</w:t>
      </w:r>
      <w:r w:rsidRPr="0082654D">
        <w:rPr>
          <w:b/>
          <w:color w:val="000000" w:themeColor="text1"/>
        </w:rPr>
        <w:t>00,000</w:t>
      </w:r>
      <w:r>
        <w:rPr>
          <w:color w:val="000000" w:themeColor="text1"/>
        </w:rPr>
        <w:t xml:space="preserve">, and an EBITDA of </w:t>
      </w:r>
      <w:r w:rsidR="0031569C">
        <w:rPr>
          <w:color w:val="000000" w:themeColor="text1"/>
        </w:rPr>
        <w:t xml:space="preserve">about </w:t>
      </w:r>
      <w:r>
        <w:rPr>
          <w:color w:val="000000" w:themeColor="text1"/>
        </w:rPr>
        <w:t>$1</w:t>
      </w:r>
      <w:r w:rsidR="00EB0BC4">
        <w:rPr>
          <w:color w:val="000000" w:themeColor="text1"/>
        </w:rPr>
        <w:t>5</w:t>
      </w:r>
      <w:r>
        <w:rPr>
          <w:color w:val="000000" w:themeColor="text1"/>
        </w:rPr>
        <w:t>,</w:t>
      </w:r>
      <w:r w:rsidR="00EB0BC4">
        <w:rPr>
          <w:color w:val="000000" w:themeColor="text1"/>
        </w:rPr>
        <w:t>5</w:t>
      </w:r>
      <w:r>
        <w:rPr>
          <w:color w:val="000000" w:themeColor="text1"/>
        </w:rPr>
        <w:t>00,000 (based $3.</w:t>
      </w:r>
      <w:r w:rsidR="00EB0BC4">
        <w:rPr>
          <w:color w:val="000000" w:themeColor="text1"/>
        </w:rPr>
        <w:t>44</w:t>
      </w:r>
      <w:r>
        <w:rPr>
          <w:color w:val="000000" w:themeColor="text1"/>
        </w:rPr>
        <w:t>/gal</w:t>
      </w:r>
      <w:r w:rsidR="00EB0BC4">
        <w:rPr>
          <w:color w:val="000000" w:themeColor="text1"/>
        </w:rPr>
        <w:t>.</w:t>
      </w:r>
      <w:r>
        <w:rPr>
          <w:color w:val="000000" w:themeColor="text1"/>
        </w:rPr>
        <w:t xml:space="preserve"> delivered</w:t>
      </w:r>
      <w:r w:rsidR="006F4418">
        <w:rPr>
          <w:color w:val="000000" w:themeColor="text1"/>
        </w:rPr>
        <w:t xml:space="preserve"> in California</w:t>
      </w:r>
      <w:r>
        <w:rPr>
          <w:color w:val="000000" w:themeColor="text1"/>
        </w:rPr>
        <w:t>)</w:t>
      </w:r>
      <w:r w:rsidR="00EB0BC4">
        <w:rPr>
          <w:color w:val="000000" w:themeColor="text1"/>
        </w:rPr>
        <w:t xml:space="preserve"> with all subsidies passed through to distributor/blender. </w:t>
      </w:r>
      <w:r>
        <w:rPr>
          <w:color w:val="000000" w:themeColor="text1"/>
        </w:rPr>
        <w:t xml:space="preserve">In the second and subsequent years those numbers will </w:t>
      </w:r>
      <w:r w:rsidR="00EB0BC4">
        <w:rPr>
          <w:color w:val="000000" w:themeColor="text1"/>
        </w:rPr>
        <w:t>be ~ $86,000,000 in revenue with an EBITDA of $25,500,000,</w:t>
      </w:r>
      <w:r>
        <w:rPr>
          <w:color w:val="000000" w:themeColor="text1"/>
        </w:rPr>
        <w:t xml:space="preserve"> yield</w:t>
      </w:r>
      <w:r w:rsidR="0031569C">
        <w:rPr>
          <w:color w:val="000000" w:themeColor="text1"/>
        </w:rPr>
        <w:t>ing</w:t>
      </w:r>
      <w:r>
        <w:rPr>
          <w:color w:val="000000" w:themeColor="text1"/>
        </w:rPr>
        <w:t xml:space="preserve"> an Internal Rate of Return (IRR) of ~</w:t>
      </w:r>
      <w:r w:rsidR="00EB0BC4">
        <w:rPr>
          <w:color w:val="000000" w:themeColor="text1"/>
        </w:rPr>
        <w:t>65</w:t>
      </w:r>
      <w:r>
        <w:rPr>
          <w:color w:val="000000" w:themeColor="text1"/>
        </w:rPr>
        <w:t>%</w:t>
      </w:r>
    </w:p>
    <w:p w14:paraId="200AAEDE" w14:textId="263AC79D" w:rsidR="0027075C" w:rsidRDefault="0027075C" w:rsidP="00D701DB">
      <w:pPr>
        <w:pStyle w:val="ListParagraph"/>
        <w:numPr>
          <w:ilvl w:val="0"/>
          <w:numId w:val="4"/>
        </w:numPr>
        <w:spacing w:line="300" w:lineRule="auto"/>
        <w:rPr>
          <w:color w:val="000000" w:themeColor="text1"/>
        </w:rPr>
      </w:pPr>
      <w:r w:rsidRPr="0082654D">
        <w:rPr>
          <w:b/>
          <w:color w:val="000000" w:themeColor="text1"/>
        </w:rPr>
        <w:t>A thi</w:t>
      </w:r>
      <w:r>
        <w:rPr>
          <w:b/>
          <w:color w:val="000000" w:themeColor="text1"/>
        </w:rPr>
        <w:t>rd</w:t>
      </w:r>
      <w:r w:rsidRPr="0082654D">
        <w:rPr>
          <w:b/>
          <w:color w:val="000000" w:themeColor="text1"/>
        </w:rPr>
        <w:t xml:space="preserve"> party engineering company will be hired</w:t>
      </w:r>
      <w:r>
        <w:rPr>
          <w:color w:val="000000" w:themeColor="text1"/>
        </w:rPr>
        <w:t xml:space="preserve"> to verify that </w:t>
      </w:r>
      <w:r w:rsidR="006D10E5">
        <w:rPr>
          <w:color w:val="000000" w:themeColor="text1"/>
        </w:rPr>
        <w:t xml:space="preserve">federal, state and local </w:t>
      </w:r>
      <w:r>
        <w:rPr>
          <w:color w:val="000000" w:themeColor="text1"/>
        </w:rPr>
        <w:t>compliance requirements are met</w:t>
      </w:r>
      <w:r w:rsidR="006D10E5">
        <w:rPr>
          <w:color w:val="000000" w:themeColor="text1"/>
        </w:rPr>
        <w:t xml:space="preserve"> including </w:t>
      </w:r>
      <w:r>
        <w:rPr>
          <w:color w:val="000000" w:themeColor="text1"/>
        </w:rPr>
        <w:t xml:space="preserve">leading to final registration approvals during plant start-up through being confirmed </w:t>
      </w:r>
      <w:r w:rsidR="006D10E5">
        <w:rPr>
          <w:color w:val="000000" w:themeColor="text1"/>
        </w:rPr>
        <w:t>as</w:t>
      </w:r>
      <w:r w:rsidR="00EB0BC4">
        <w:rPr>
          <w:color w:val="000000" w:themeColor="text1"/>
        </w:rPr>
        <w:t xml:space="preserve"> </w:t>
      </w:r>
      <w:r w:rsidR="006D10E5">
        <w:rPr>
          <w:color w:val="000000" w:themeColor="text1"/>
        </w:rPr>
        <w:t>operating</w:t>
      </w:r>
      <w:r>
        <w:rPr>
          <w:color w:val="000000" w:themeColor="text1"/>
        </w:rPr>
        <w:t xml:space="preserve"> “commercially”</w:t>
      </w:r>
    </w:p>
    <w:p w14:paraId="54E32F8C" w14:textId="77777777" w:rsidR="0027075C" w:rsidRDefault="00924DA0" w:rsidP="00D701DB">
      <w:pPr>
        <w:pStyle w:val="ListParagraph"/>
        <w:numPr>
          <w:ilvl w:val="0"/>
          <w:numId w:val="4"/>
        </w:numPr>
        <w:spacing w:line="300" w:lineRule="auto"/>
        <w:rPr>
          <w:color w:val="000000" w:themeColor="text1"/>
        </w:rPr>
      </w:pPr>
      <w:r>
        <w:rPr>
          <w:b/>
          <w:color w:val="000000" w:themeColor="text1"/>
        </w:rPr>
        <w:t>The Company</w:t>
      </w:r>
      <w:r w:rsidR="0027075C" w:rsidRPr="0082654D">
        <w:rPr>
          <w:b/>
          <w:color w:val="000000" w:themeColor="text1"/>
        </w:rPr>
        <w:t xml:space="preserve"> will also hire an engineering firm to act</w:t>
      </w:r>
      <w:r w:rsidR="0027075C">
        <w:rPr>
          <w:color w:val="000000" w:themeColor="text1"/>
        </w:rPr>
        <w:t xml:space="preserve"> as the project’s engineering, procurement and construction company (“EPC”). Their contract will include a guarantee of meeting plant</w:t>
      </w:r>
      <w:r w:rsidR="006F4418">
        <w:rPr>
          <w:color w:val="000000" w:themeColor="text1"/>
        </w:rPr>
        <w:t xml:space="preserve"> </w:t>
      </w:r>
      <w:r w:rsidR="0027075C">
        <w:rPr>
          <w:color w:val="000000" w:themeColor="text1"/>
        </w:rPr>
        <w:t xml:space="preserve">production quantities and qualities; including liquidated damages for Jatro JV if the schedule is not met or production volumes not realized </w:t>
      </w:r>
    </w:p>
    <w:p w14:paraId="2AA3F0D7" w14:textId="77777777" w:rsidR="0027075C" w:rsidRDefault="0027075C" w:rsidP="00D701DB">
      <w:pPr>
        <w:pStyle w:val="ListParagraph"/>
        <w:numPr>
          <w:ilvl w:val="0"/>
          <w:numId w:val="4"/>
        </w:numPr>
        <w:spacing w:line="300" w:lineRule="auto"/>
        <w:rPr>
          <w:color w:val="000000" w:themeColor="text1"/>
        </w:rPr>
      </w:pPr>
      <w:r w:rsidRPr="0082654D">
        <w:rPr>
          <w:b/>
          <w:color w:val="000000" w:themeColor="text1"/>
        </w:rPr>
        <w:t xml:space="preserve">While </w:t>
      </w:r>
      <w:r w:rsidR="00924DA0">
        <w:rPr>
          <w:b/>
          <w:color w:val="000000" w:themeColor="text1"/>
        </w:rPr>
        <w:t>the Company</w:t>
      </w:r>
      <w:r w:rsidRPr="0082654D">
        <w:rPr>
          <w:b/>
          <w:color w:val="000000" w:themeColor="text1"/>
        </w:rPr>
        <w:t xml:space="preserve"> principals and management are seasoned</w:t>
      </w:r>
      <w:r>
        <w:rPr>
          <w:color w:val="000000" w:themeColor="text1"/>
        </w:rPr>
        <w:t xml:space="preserve"> chemical conversion technology, engineering, development, finance and operating experts with proven experience (e.g. </w:t>
      </w:r>
      <w:r w:rsidR="00770307">
        <w:rPr>
          <w:color w:val="000000" w:themeColor="text1"/>
        </w:rPr>
        <w:br/>
      </w:r>
      <w:r w:rsidR="00C529E5">
        <w:rPr>
          <w:color w:val="000000" w:themeColor="text1"/>
        </w:rPr>
        <w:t>Jatro Renewables</w:t>
      </w:r>
      <w:r>
        <w:rPr>
          <w:color w:val="000000" w:themeColor="text1"/>
        </w:rPr>
        <w:t xml:space="preserve"> has built or engineered 19 biodiesel plants)</w:t>
      </w:r>
      <w:r w:rsidR="006F4418">
        <w:rPr>
          <w:color w:val="000000" w:themeColor="text1"/>
        </w:rPr>
        <w:t>,</w:t>
      </w:r>
      <w:r w:rsidR="00F052C7">
        <w:rPr>
          <w:color w:val="000000" w:themeColor="text1"/>
        </w:rPr>
        <w:t xml:space="preserve"> </w:t>
      </w:r>
      <w:r w:rsidR="00924DA0">
        <w:rPr>
          <w:color w:val="000000" w:themeColor="text1"/>
        </w:rPr>
        <w:t>the Company</w:t>
      </w:r>
      <w:r>
        <w:rPr>
          <w:color w:val="000000" w:themeColor="text1"/>
        </w:rPr>
        <w:t xml:space="preserve"> </w:t>
      </w:r>
      <w:r w:rsidR="006F4418">
        <w:rPr>
          <w:color w:val="000000" w:themeColor="text1"/>
        </w:rPr>
        <w:t xml:space="preserve">also </w:t>
      </w:r>
      <w:r>
        <w:rPr>
          <w:color w:val="000000" w:themeColor="text1"/>
        </w:rPr>
        <w:t xml:space="preserve">includes experts in drafting insurance wraps to mitigate all risks for the entire project. These coverages include start-up, technology, </w:t>
      </w:r>
      <w:r w:rsidR="0031569C">
        <w:rPr>
          <w:color w:val="000000" w:themeColor="text1"/>
        </w:rPr>
        <w:t xml:space="preserve">feedstock </w:t>
      </w:r>
      <w:r>
        <w:rPr>
          <w:color w:val="000000" w:themeColor="text1"/>
        </w:rPr>
        <w:t xml:space="preserve">supply, construction and off-take </w:t>
      </w:r>
      <w:r w:rsidR="0031569C">
        <w:rPr>
          <w:color w:val="000000" w:themeColor="text1"/>
        </w:rPr>
        <w:t xml:space="preserve">sales </w:t>
      </w:r>
      <w:r>
        <w:rPr>
          <w:color w:val="000000" w:themeColor="text1"/>
        </w:rPr>
        <w:t>contract risks</w:t>
      </w:r>
      <w:r w:rsidR="006D10E5">
        <w:rPr>
          <w:color w:val="000000" w:themeColor="text1"/>
        </w:rPr>
        <w:t>.</w:t>
      </w:r>
    </w:p>
    <w:p w14:paraId="3DB01614" w14:textId="529E2A67" w:rsidR="00C64109" w:rsidRDefault="005C2A29" w:rsidP="005C2A29">
      <w:pPr>
        <w:tabs>
          <w:tab w:val="left" w:pos="720"/>
        </w:tabs>
        <w:spacing w:after="480" w:line="300" w:lineRule="auto"/>
        <w:ind w:left="-270"/>
        <w:jc w:val="center"/>
        <w:rPr>
          <w:color w:val="000000" w:themeColor="text1"/>
        </w:rPr>
      </w:pPr>
      <w:r>
        <w:rPr>
          <w:color w:val="000000" w:themeColor="text1"/>
        </w:rPr>
        <w:lastRenderedPageBreak/>
        <w:br/>
      </w:r>
      <w:bookmarkStart w:id="2" w:name="_Hlk502911917"/>
      <w:r w:rsidRPr="005C2A29">
        <w:rPr>
          <w:b/>
          <w:color w:val="000000" w:themeColor="text1"/>
          <w:sz w:val="32"/>
          <w:szCs w:val="32"/>
        </w:rPr>
        <w:t>APPENDIX</w:t>
      </w:r>
      <w:r w:rsidR="001616EB">
        <w:rPr>
          <w:b/>
          <w:color w:val="000000" w:themeColor="text1"/>
          <w:sz w:val="32"/>
          <w:szCs w:val="32"/>
        </w:rPr>
        <w:t xml:space="preserve"> A</w:t>
      </w:r>
      <w:bookmarkEnd w:id="2"/>
    </w:p>
    <w:tbl>
      <w:tblPr>
        <w:tblpPr w:leftFromText="180" w:rightFromText="180" w:vertAnchor="text" w:horzAnchor="margin" w:tblpY="402"/>
        <w:tblW w:w="0" w:type="auto"/>
        <w:tblCellMar>
          <w:left w:w="0" w:type="dxa"/>
          <w:right w:w="0" w:type="dxa"/>
        </w:tblCellMar>
        <w:tblLook w:val="04A0" w:firstRow="1" w:lastRow="0" w:firstColumn="1" w:lastColumn="0" w:noHBand="0" w:noVBand="1"/>
      </w:tblPr>
      <w:tblGrid>
        <w:gridCol w:w="2097"/>
        <w:gridCol w:w="3113"/>
        <w:gridCol w:w="3600"/>
      </w:tblGrid>
      <w:tr w:rsidR="00584A79" w:rsidRPr="00C64109" w14:paraId="3144FBC6" w14:textId="77777777" w:rsidTr="003D66F8">
        <w:trPr>
          <w:trHeight w:val="688"/>
        </w:trPr>
        <w:tc>
          <w:tcPr>
            <w:tcW w:w="0" w:type="auto"/>
            <w:tcBorders>
              <w:top w:val="single" w:sz="8" w:space="0" w:color="FFFFFF"/>
              <w:left w:val="single" w:sz="8" w:space="0" w:color="FFFFFF"/>
              <w:bottom w:val="single" w:sz="24" w:space="0" w:color="FFFFFF"/>
              <w:right w:val="single" w:sz="8" w:space="0" w:color="FFFFFF"/>
            </w:tcBorders>
            <w:shd w:val="clear" w:color="auto" w:fill="5F9934"/>
            <w:tcMar>
              <w:top w:w="15" w:type="dxa"/>
              <w:left w:w="108" w:type="dxa"/>
              <w:bottom w:w="15" w:type="dxa"/>
              <w:right w:w="108" w:type="dxa"/>
            </w:tcMar>
            <w:vAlign w:val="center"/>
            <w:hideMark/>
          </w:tcPr>
          <w:p w14:paraId="274BD2E9" w14:textId="77777777" w:rsidR="00584A79" w:rsidRPr="00584A79" w:rsidRDefault="00584A79" w:rsidP="00C64109">
            <w:pPr>
              <w:spacing w:after="0" w:line="254" w:lineRule="auto"/>
              <w:ind w:firstLine="202"/>
              <w:rPr>
                <w:rFonts w:eastAsia="Times New Roman" w:cs="Arial"/>
              </w:rPr>
            </w:pPr>
            <w:r w:rsidRPr="00584A79">
              <w:rPr>
                <w:rFonts w:eastAsia="Calibri" w:cs="Times New Roman"/>
                <w:bCs/>
                <w:color w:val="FFFFFF" w:themeColor="background1"/>
                <w:kern w:val="24"/>
              </w:rPr>
              <w:t>Properties</w:t>
            </w:r>
          </w:p>
        </w:tc>
        <w:tc>
          <w:tcPr>
            <w:tcW w:w="3113" w:type="dxa"/>
            <w:tcBorders>
              <w:top w:val="single" w:sz="8" w:space="0" w:color="FFFFFF"/>
              <w:left w:val="single" w:sz="8" w:space="0" w:color="FFFFFF"/>
              <w:bottom w:val="single" w:sz="24" w:space="0" w:color="FFFFFF"/>
              <w:right w:val="single" w:sz="8" w:space="0" w:color="FFFFFF"/>
            </w:tcBorders>
            <w:shd w:val="clear" w:color="auto" w:fill="5F9934"/>
            <w:tcMar>
              <w:top w:w="15" w:type="dxa"/>
              <w:left w:w="108" w:type="dxa"/>
              <w:bottom w:w="15" w:type="dxa"/>
              <w:right w:w="108" w:type="dxa"/>
            </w:tcMar>
            <w:vAlign w:val="center"/>
            <w:hideMark/>
          </w:tcPr>
          <w:p w14:paraId="22E6FFBA" w14:textId="77777777" w:rsidR="00584A79" w:rsidRPr="00584A79" w:rsidRDefault="00584A79" w:rsidP="00C64109">
            <w:pPr>
              <w:spacing w:after="0" w:line="254" w:lineRule="auto"/>
              <w:ind w:firstLine="202"/>
              <w:jc w:val="center"/>
              <w:rPr>
                <w:rFonts w:eastAsia="Times New Roman" w:cs="Arial"/>
              </w:rPr>
            </w:pPr>
            <w:r w:rsidRPr="00584A79">
              <w:rPr>
                <w:rFonts w:eastAsia="Times New Roman" w:cs="Arial"/>
                <w:bCs/>
                <w:color w:val="FFFFFF" w:themeColor="light1"/>
                <w:kern w:val="24"/>
              </w:rPr>
              <w:t>Traditional Biodiesel (FAME)</w:t>
            </w:r>
          </w:p>
        </w:tc>
        <w:tc>
          <w:tcPr>
            <w:tcW w:w="3600" w:type="dxa"/>
            <w:tcBorders>
              <w:top w:val="single" w:sz="8" w:space="0" w:color="FFFFFF"/>
              <w:left w:val="single" w:sz="8" w:space="0" w:color="FFFFFF"/>
              <w:bottom w:val="single" w:sz="24" w:space="0" w:color="FFFFFF"/>
              <w:right w:val="single" w:sz="8" w:space="0" w:color="FFFFFF"/>
            </w:tcBorders>
            <w:shd w:val="clear" w:color="auto" w:fill="5F9934"/>
            <w:tcMar>
              <w:top w:w="15" w:type="dxa"/>
              <w:left w:w="108" w:type="dxa"/>
              <w:bottom w:w="15" w:type="dxa"/>
              <w:right w:w="108" w:type="dxa"/>
            </w:tcMar>
            <w:vAlign w:val="center"/>
            <w:hideMark/>
          </w:tcPr>
          <w:p w14:paraId="12ED3633" w14:textId="77777777" w:rsidR="00584A79" w:rsidRPr="00584A79" w:rsidRDefault="00584A79" w:rsidP="00C64109">
            <w:pPr>
              <w:spacing w:after="0" w:line="254" w:lineRule="auto"/>
              <w:ind w:firstLine="202"/>
              <w:jc w:val="center"/>
              <w:rPr>
                <w:rFonts w:eastAsia="Times New Roman" w:cs="Arial"/>
              </w:rPr>
            </w:pPr>
            <w:r w:rsidRPr="00584A79">
              <w:rPr>
                <w:rFonts w:eastAsia="Times New Roman" w:cs="Arial"/>
                <w:bCs/>
                <w:color w:val="FFFFFF" w:themeColor="light1"/>
                <w:kern w:val="24"/>
              </w:rPr>
              <w:t>Supercritical Biodiesel (</w:t>
            </w:r>
            <w:r w:rsidRPr="00584A79">
              <w:rPr>
                <w:rFonts w:eastAsia="Times New Roman" w:cs="Arial"/>
                <w:bCs/>
                <w:i/>
                <w:iCs/>
                <w:color w:val="FFFFFF" w:themeColor="light1"/>
                <w:kern w:val="24"/>
              </w:rPr>
              <w:t>Super™</w:t>
            </w:r>
            <w:r w:rsidRPr="00584A79">
              <w:rPr>
                <w:rFonts w:eastAsia="Times New Roman" w:cs="Arial"/>
                <w:bCs/>
                <w:color w:val="FFFFFF" w:themeColor="light1"/>
                <w:kern w:val="24"/>
              </w:rPr>
              <w:t>)</w:t>
            </w:r>
            <w:r w:rsidRPr="00584A79">
              <w:rPr>
                <w:rFonts w:eastAsia="Times New Roman" w:cs="Arial"/>
                <w:bCs/>
                <w:color w:val="FFFFFF" w:themeColor="light1"/>
                <w:kern w:val="24"/>
              </w:rPr>
              <w:br/>
            </w:r>
            <w:r w:rsidRPr="00584A79">
              <w:rPr>
                <w:rFonts w:eastAsia="Times New Roman" w:cs="Arial"/>
                <w:color w:val="FFFFFF" w:themeColor="light1"/>
                <w:kern w:val="24"/>
              </w:rPr>
              <w:t>ASTM 6751</w:t>
            </w:r>
          </w:p>
        </w:tc>
      </w:tr>
      <w:tr w:rsidR="00584A79" w:rsidRPr="00C64109" w14:paraId="6F9C53ED" w14:textId="77777777" w:rsidTr="003D66F8">
        <w:trPr>
          <w:trHeight w:val="270"/>
        </w:trPr>
        <w:tc>
          <w:tcPr>
            <w:tcW w:w="0" w:type="auto"/>
            <w:tcBorders>
              <w:top w:val="single" w:sz="24"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15" w:type="dxa"/>
              <w:right w:w="108" w:type="dxa"/>
            </w:tcMar>
            <w:vAlign w:val="center"/>
            <w:hideMark/>
          </w:tcPr>
          <w:p w14:paraId="3E7BAC14" w14:textId="77777777" w:rsidR="00584A79" w:rsidRPr="00584A79" w:rsidRDefault="00584A79" w:rsidP="00C64109">
            <w:pPr>
              <w:spacing w:after="0" w:line="254" w:lineRule="auto"/>
              <w:ind w:firstLine="173"/>
              <w:rPr>
                <w:rFonts w:eastAsia="Times New Roman" w:cs="Arial"/>
                <w:color w:val="262626" w:themeColor="text1" w:themeTint="D9"/>
                <w:sz w:val="20"/>
                <w:szCs w:val="20"/>
              </w:rPr>
            </w:pPr>
            <w:r w:rsidRPr="00584A79">
              <w:rPr>
                <w:rFonts w:eastAsia="Calibri" w:cs="Times New Roman"/>
                <w:color w:val="262626" w:themeColor="text1" w:themeTint="D9"/>
                <w:kern w:val="24"/>
                <w:sz w:val="20"/>
                <w:szCs w:val="20"/>
              </w:rPr>
              <w:t>GHG Emissions</w:t>
            </w:r>
          </w:p>
        </w:tc>
        <w:tc>
          <w:tcPr>
            <w:tcW w:w="3113" w:type="dxa"/>
            <w:tcBorders>
              <w:top w:val="single" w:sz="24"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15" w:type="dxa"/>
              <w:right w:w="108" w:type="dxa"/>
            </w:tcMar>
            <w:vAlign w:val="center"/>
            <w:hideMark/>
          </w:tcPr>
          <w:p w14:paraId="29854A3E" w14:textId="77777777" w:rsidR="00584A79" w:rsidRPr="00933E88" w:rsidRDefault="00584A79" w:rsidP="00C64109">
            <w:pPr>
              <w:spacing w:after="0" w:line="254" w:lineRule="auto"/>
              <w:ind w:firstLine="202"/>
              <w:jc w:val="center"/>
              <w:rPr>
                <w:rFonts w:eastAsia="Times New Roman" w:cs="Arial"/>
                <w:sz w:val="20"/>
                <w:szCs w:val="20"/>
              </w:rPr>
            </w:pPr>
            <w:r>
              <w:rPr>
                <w:rFonts w:eastAsia="Calibri" w:cs="Times New Roman"/>
                <w:color w:val="595959" w:themeColor="text1" w:themeTint="A6"/>
                <w:kern w:val="24"/>
                <w:sz w:val="20"/>
                <w:szCs w:val="20"/>
              </w:rPr>
              <w:t>5</w:t>
            </w:r>
            <w:r w:rsidRPr="00933E88">
              <w:rPr>
                <w:rFonts w:eastAsia="Calibri" w:cs="Times New Roman"/>
                <w:color w:val="595959" w:themeColor="text1" w:themeTint="A6"/>
                <w:kern w:val="24"/>
                <w:sz w:val="20"/>
                <w:szCs w:val="20"/>
              </w:rPr>
              <w:t>0% below baseline¹</w:t>
            </w:r>
          </w:p>
        </w:tc>
        <w:tc>
          <w:tcPr>
            <w:tcW w:w="3600" w:type="dxa"/>
            <w:tcBorders>
              <w:top w:val="single" w:sz="24"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15" w:type="dxa"/>
              <w:right w:w="108" w:type="dxa"/>
            </w:tcMar>
            <w:vAlign w:val="center"/>
            <w:hideMark/>
          </w:tcPr>
          <w:p w14:paraId="797DF13B" w14:textId="77777777" w:rsidR="00584A79" w:rsidRPr="00933E88" w:rsidRDefault="00584A79" w:rsidP="00C64109">
            <w:pPr>
              <w:spacing w:after="0" w:line="254" w:lineRule="auto"/>
              <w:jc w:val="center"/>
              <w:rPr>
                <w:rFonts w:eastAsia="Times New Roman" w:cs="Arial"/>
                <w:sz w:val="20"/>
                <w:szCs w:val="20"/>
              </w:rPr>
            </w:pPr>
            <w:r w:rsidRPr="00933E88">
              <w:rPr>
                <w:rFonts w:eastAsia="Calibri" w:cs="Times New Roman"/>
                <w:color w:val="595959" w:themeColor="text1" w:themeTint="A6"/>
                <w:kern w:val="24"/>
                <w:sz w:val="20"/>
                <w:szCs w:val="20"/>
              </w:rPr>
              <w:t>60% below baseline¹</w:t>
            </w:r>
          </w:p>
        </w:tc>
      </w:tr>
      <w:tr w:rsidR="00584A79" w:rsidRPr="00C64109" w14:paraId="018ADB61" w14:textId="77777777" w:rsidTr="003D66F8">
        <w:trPr>
          <w:trHeight w:val="217"/>
        </w:trPr>
        <w:tc>
          <w:tcPr>
            <w:tcW w:w="0" w:type="auto"/>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15" w:type="dxa"/>
              <w:right w:w="108" w:type="dxa"/>
            </w:tcMar>
            <w:vAlign w:val="center"/>
            <w:hideMark/>
          </w:tcPr>
          <w:p w14:paraId="5B4C8FBA" w14:textId="77777777" w:rsidR="00584A79" w:rsidRPr="00584A79" w:rsidRDefault="00584A79" w:rsidP="00C64109">
            <w:pPr>
              <w:spacing w:after="0" w:line="254" w:lineRule="auto"/>
              <w:ind w:left="173"/>
              <w:rPr>
                <w:rFonts w:eastAsia="Times New Roman" w:cs="Arial"/>
                <w:color w:val="262626" w:themeColor="text1" w:themeTint="D9"/>
                <w:sz w:val="20"/>
                <w:szCs w:val="20"/>
              </w:rPr>
            </w:pPr>
            <w:r w:rsidRPr="00584A79">
              <w:rPr>
                <w:rFonts w:eastAsia="Calibri" w:cs="Times New Roman"/>
                <w:color w:val="262626" w:themeColor="text1" w:themeTint="D9"/>
                <w:kern w:val="24"/>
                <w:sz w:val="20"/>
                <w:szCs w:val="20"/>
              </w:rPr>
              <w:t>CAPEX / OPEX</w:t>
            </w:r>
          </w:p>
        </w:tc>
        <w:tc>
          <w:tcPr>
            <w:tcW w:w="3113" w:type="dxa"/>
            <w:tcBorders>
              <w:top w:val="single" w:sz="8" w:space="0" w:color="FFFFFF"/>
              <w:left w:val="single" w:sz="8" w:space="0" w:color="FFFFFF"/>
              <w:bottom w:val="single" w:sz="8" w:space="0" w:color="FFFFFF"/>
              <w:right w:val="single" w:sz="8" w:space="0" w:color="FFFFFF"/>
            </w:tcBorders>
            <w:shd w:val="clear" w:color="auto" w:fill="E8F1FB"/>
            <w:tcMar>
              <w:top w:w="15" w:type="dxa"/>
              <w:left w:w="108" w:type="dxa"/>
              <w:bottom w:w="15" w:type="dxa"/>
              <w:right w:w="108" w:type="dxa"/>
            </w:tcMar>
            <w:vAlign w:val="center"/>
            <w:hideMark/>
          </w:tcPr>
          <w:p w14:paraId="2332AA50" w14:textId="4F08B8E3" w:rsidR="00584A79" w:rsidRPr="00933E88" w:rsidRDefault="00584A79" w:rsidP="00C64109">
            <w:pPr>
              <w:spacing w:after="0" w:line="254" w:lineRule="auto"/>
              <w:ind w:firstLine="202"/>
              <w:jc w:val="center"/>
              <w:rPr>
                <w:rFonts w:eastAsia="Times New Roman" w:cs="Arial"/>
                <w:sz w:val="20"/>
                <w:szCs w:val="20"/>
              </w:rPr>
            </w:pPr>
            <w:r w:rsidRPr="00933E88">
              <w:rPr>
                <w:rFonts w:eastAsia="Calibri" w:cs="Times New Roman"/>
                <w:color w:val="595959" w:themeColor="text1" w:themeTint="A6"/>
                <w:kern w:val="24"/>
                <w:sz w:val="20"/>
                <w:szCs w:val="20"/>
              </w:rPr>
              <w:t>$1.</w:t>
            </w:r>
            <w:r w:rsidR="00090C84">
              <w:rPr>
                <w:rFonts w:eastAsia="Calibri" w:cs="Times New Roman"/>
                <w:color w:val="595959" w:themeColor="text1" w:themeTint="A6"/>
                <w:kern w:val="24"/>
                <w:sz w:val="20"/>
                <w:szCs w:val="20"/>
              </w:rPr>
              <w:t>1</w:t>
            </w:r>
            <w:r w:rsidRPr="00933E88">
              <w:rPr>
                <w:rFonts w:eastAsia="Calibri" w:cs="Times New Roman"/>
                <w:color w:val="595959" w:themeColor="text1" w:themeTint="A6"/>
                <w:kern w:val="24"/>
                <w:sz w:val="20"/>
                <w:szCs w:val="20"/>
              </w:rPr>
              <w:t>0  |  $0.</w:t>
            </w:r>
            <w:r w:rsidR="00BB7225">
              <w:rPr>
                <w:rFonts w:eastAsia="Calibri" w:cs="Times New Roman"/>
                <w:color w:val="595959" w:themeColor="text1" w:themeTint="A6"/>
                <w:kern w:val="24"/>
                <w:sz w:val="20"/>
                <w:szCs w:val="20"/>
              </w:rPr>
              <w:t>6</w:t>
            </w:r>
            <w:r w:rsidRPr="00933E88">
              <w:rPr>
                <w:rFonts w:eastAsia="Calibri" w:cs="Times New Roman"/>
                <w:color w:val="595959" w:themeColor="text1" w:themeTint="A6"/>
                <w:kern w:val="24"/>
                <w:sz w:val="20"/>
                <w:szCs w:val="20"/>
              </w:rPr>
              <w:t>7</w:t>
            </w:r>
          </w:p>
        </w:tc>
        <w:tc>
          <w:tcPr>
            <w:tcW w:w="3600" w:type="dxa"/>
            <w:tcBorders>
              <w:top w:val="single" w:sz="8" w:space="0" w:color="FFFFFF"/>
              <w:left w:val="single" w:sz="8" w:space="0" w:color="FFFFFF"/>
              <w:bottom w:val="single" w:sz="8" w:space="0" w:color="FFFFFF"/>
              <w:right w:val="single" w:sz="8" w:space="0" w:color="FFFFFF"/>
            </w:tcBorders>
            <w:shd w:val="clear" w:color="auto" w:fill="E8F1FB"/>
            <w:tcMar>
              <w:top w:w="15" w:type="dxa"/>
              <w:left w:w="108" w:type="dxa"/>
              <w:bottom w:w="15" w:type="dxa"/>
              <w:right w:w="108" w:type="dxa"/>
            </w:tcMar>
            <w:vAlign w:val="center"/>
            <w:hideMark/>
          </w:tcPr>
          <w:p w14:paraId="69BC8D6F" w14:textId="429EEED5" w:rsidR="00584A79" w:rsidRPr="00933E88" w:rsidRDefault="00584A79" w:rsidP="00C64109">
            <w:pPr>
              <w:spacing w:after="0" w:line="254" w:lineRule="auto"/>
              <w:jc w:val="center"/>
              <w:rPr>
                <w:rFonts w:eastAsia="Times New Roman" w:cs="Arial"/>
                <w:sz w:val="20"/>
                <w:szCs w:val="20"/>
              </w:rPr>
            </w:pPr>
            <w:r w:rsidRPr="00933E88">
              <w:rPr>
                <w:rFonts w:eastAsia="Calibri" w:cs="Times New Roman"/>
                <w:color w:val="595959" w:themeColor="text1" w:themeTint="A6"/>
                <w:kern w:val="24"/>
                <w:sz w:val="20"/>
                <w:szCs w:val="20"/>
              </w:rPr>
              <w:t>$1.</w:t>
            </w:r>
            <w:r w:rsidR="00090C84">
              <w:rPr>
                <w:rFonts w:eastAsia="Calibri" w:cs="Times New Roman"/>
                <w:color w:val="595959" w:themeColor="text1" w:themeTint="A6"/>
                <w:kern w:val="24"/>
                <w:sz w:val="20"/>
                <w:szCs w:val="20"/>
              </w:rPr>
              <w:t>2</w:t>
            </w:r>
            <w:r w:rsidRPr="00933E88">
              <w:rPr>
                <w:rFonts w:eastAsia="Calibri" w:cs="Times New Roman"/>
                <w:color w:val="595959" w:themeColor="text1" w:themeTint="A6"/>
                <w:kern w:val="24"/>
                <w:sz w:val="20"/>
                <w:szCs w:val="20"/>
              </w:rPr>
              <w:t>0  |  $0.</w:t>
            </w:r>
            <w:r w:rsidR="00BB7225">
              <w:rPr>
                <w:rFonts w:eastAsia="Calibri" w:cs="Times New Roman"/>
                <w:color w:val="595959" w:themeColor="text1" w:themeTint="A6"/>
                <w:kern w:val="24"/>
                <w:sz w:val="20"/>
                <w:szCs w:val="20"/>
              </w:rPr>
              <w:t>47</w:t>
            </w:r>
          </w:p>
        </w:tc>
      </w:tr>
      <w:tr w:rsidR="00584A79" w:rsidRPr="00C64109" w14:paraId="11DAF664" w14:textId="77777777" w:rsidTr="003D66F8">
        <w:trPr>
          <w:trHeight w:val="175"/>
        </w:trPr>
        <w:tc>
          <w:tcPr>
            <w:tcW w:w="0" w:type="auto"/>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15" w:type="dxa"/>
              <w:right w:w="108" w:type="dxa"/>
            </w:tcMar>
            <w:vAlign w:val="center"/>
            <w:hideMark/>
          </w:tcPr>
          <w:p w14:paraId="470EDBF9" w14:textId="77777777" w:rsidR="00584A79" w:rsidRPr="00584A79" w:rsidRDefault="00584A79" w:rsidP="00C64109">
            <w:pPr>
              <w:spacing w:after="0" w:line="254" w:lineRule="auto"/>
              <w:ind w:firstLine="202"/>
              <w:rPr>
                <w:rFonts w:eastAsia="Times New Roman" w:cs="Arial"/>
                <w:color w:val="262626" w:themeColor="text1" w:themeTint="D9"/>
                <w:sz w:val="20"/>
                <w:szCs w:val="20"/>
              </w:rPr>
            </w:pPr>
            <w:r w:rsidRPr="00584A79">
              <w:rPr>
                <w:rFonts w:eastAsia="Calibri" w:cs="Times New Roman"/>
                <w:color w:val="262626" w:themeColor="text1" w:themeTint="D9"/>
                <w:kern w:val="24"/>
                <w:sz w:val="20"/>
                <w:szCs w:val="20"/>
              </w:rPr>
              <w:t>Transportation</w:t>
            </w:r>
          </w:p>
        </w:tc>
        <w:tc>
          <w:tcPr>
            <w:tcW w:w="3113"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15" w:type="dxa"/>
              <w:right w:w="108" w:type="dxa"/>
            </w:tcMar>
            <w:vAlign w:val="center"/>
            <w:hideMark/>
          </w:tcPr>
          <w:p w14:paraId="2019C118" w14:textId="77777777" w:rsidR="00584A79" w:rsidRPr="00933E88" w:rsidRDefault="00584A79" w:rsidP="00C64109">
            <w:pPr>
              <w:spacing w:after="0" w:line="254" w:lineRule="auto"/>
              <w:ind w:firstLine="202"/>
              <w:jc w:val="center"/>
              <w:rPr>
                <w:rFonts w:eastAsia="Times New Roman" w:cs="Arial"/>
                <w:sz w:val="20"/>
                <w:szCs w:val="20"/>
              </w:rPr>
            </w:pPr>
            <w:r w:rsidRPr="00933E88">
              <w:rPr>
                <w:rFonts w:eastAsia="Calibri" w:cs="Times New Roman"/>
                <w:color w:val="595959" w:themeColor="text1" w:themeTint="A6"/>
                <w:kern w:val="24"/>
                <w:sz w:val="20"/>
                <w:szCs w:val="20"/>
              </w:rPr>
              <w:t xml:space="preserve">Truck, rail or barge </w:t>
            </w:r>
          </w:p>
        </w:tc>
        <w:tc>
          <w:tcPr>
            <w:tcW w:w="360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15" w:type="dxa"/>
              <w:right w:w="108" w:type="dxa"/>
            </w:tcMar>
            <w:vAlign w:val="center"/>
            <w:hideMark/>
          </w:tcPr>
          <w:p w14:paraId="1711684C" w14:textId="77777777" w:rsidR="00584A79" w:rsidRPr="00933E88" w:rsidRDefault="00584A79" w:rsidP="00C64109">
            <w:pPr>
              <w:spacing w:after="0" w:line="254" w:lineRule="auto"/>
              <w:jc w:val="center"/>
              <w:rPr>
                <w:rFonts w:eastAsia="Times New Roman" w:cs="Arial"/>
                <w:sz w:val="20"/>
                <w:szCs w:val="20"/>
              </w:rPr>
            </w:pPr>
            <w:r w:rsidRPr="00933E88">
              <w:rPr>
                <w:rFonts w:eastAsia="Calibri" w:cs="Times New Roman"/>
                <w:color w:val="595959" w:themeColor="text1" w:themeTint="A6"/>
                <w:kern w:val="24"/>
                <w:sz w:val="20"/>
                <w:szCs w:val="20"/>
              </w:rPr>
              <w:t xml:space="preserve">Truck, rail or barge </w:t>
            </w:r>
          </w:p>
        </w:tc>
      </w:tr>
      <w:tr w:rsidR="00584A79" w:rsidRPr="00C64109" w14:paraId="4EEBED6A" w14:textId="77777777" w:rsidTr="003D66F8">
        <w:trPr>
          <w:trHeight w:val="307"/>
        </w:trPr>
        <w:tc>
          <w:tcPr>
            <w:tcW w:w="0" w:type="auto"/>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15" w:type="dxa"/>
              <w:right w:w="108" w:type="dxa"/>
            </w:tcMar>
            <w:vAlign w:val="center"/>
            <w:hideMark/>
          </w:tcPr>
          <w:p w14:paraId="182B1872" w14:textId="77777777" w:rsidR="00584A79" w:rsidRPr="00584A79" w:rsidRDefault="00584A79" w:rsidP="00C64109">
            <w:pPr>
              <w:spacing w:after="0" w:line="254" w:lineRule="auto"/>
              <w:ind w:firstLine="202"/>
              <w:rPr>
                <w:rFonts w:eastAsia="Times New Roman" w:cs="Arial"/>
                <w:color w:val="262626" w:themeColor="text1" w:themeTint="D9"/>
                <w:sz w:val="20"/>
                <w:szCs w:val="20"/>
              </w:rPr>
            </w:pPr>
            <w:r w:rsidRPr="00584A79">
              <w:rPr>
                <w:rFonts w:eastAsia="Calibri" w:cs="Times New Roman"/>
                <w:color w:val="262626" w:themeColor="text1" w:themeTint="D9"/>
                <w:kern w:val="24"/>
                <w:sz w:val="20"/>
                <w:szCs w:val="20"/>
              </w:rPr>
              <w:t>Storage</w:t>
            </w:r>
          </w:p>
        </w:tc>
        <w:tc>
          <w:tcPr>
            <w:tcW w:w="3113" w:type="dxa"/>
            <w:tcBorders>
              <w:top w:val="single" w:sz="8" w:space="0" w:color="FFFFFF"/>
              <w:left w:val="single" w:sz="8" w:space="0" w:color="FFFFFF"/>
              <w:bottom w:val="single" w:sz="8" w:space="0" w:color="FFFFFF"/>
              <w:right w:val="single" w:sz="8" w:space="0" w:color="FFFFFF"/>
            </w:tcBorders>
            <w:shd w:val="clear" w:color="auto" w:fill="E8F1FB"/>
            <w:tcMar>
              <w:top w:w="15" w:type="dxa"/>
              <w:left w:w="108" w:type="dxa"/>
              <w:bottom w:w="15" w:type="dxa"/>
              <w:right w:w="108" w:type="dxa"/>
            </w:tcMar>
            <w:vAlign w:val="center"/>
            <w:hideMark/>
          </w:tcPr>
          <w:p w14:paraId="48559725" w14:textId="77777777" w:rsidR="00584A79" w:rsidRPr="00933E88" w:rsidRDefault="00584A79" w:rsidP="00C64109">
            <w:pPr>
              <w:spacing w:after="0" w:line="254" w:lineRule="auto"/>
              <w:ind w:left="173"/>
              <w:jc w:val="center"/>
              <w:rPr>
                <w:rFonts w:eastAsia="Times New Roman" w:cs="Arial"/>
                <w:sz w:val="20"/>
                <w:szCs w:val="20"/>
              </w:rPr>
            </w:pPr>
            <w:r w:rsidRPr="00933E88">
              <w:rPr>
                <w:rFonts w:eastAsia="Calibri" w:cs="Times New Roman"/>
                <w:color w:val="595959" w:themeColor="text1" w:themeTint="A6"/>
                <w:kern w:val="24"/>
                <w:sz w:val="20"/>
                <w:szCs w:val="20"/>
              </w:rPr>
              <w:t>All tanks, above ground</w:t>
            </w:r>
          </w:p>
        </w:tc>
        <w:tc>
          <w:tcPr>
            <w:tcW w:w="3600" w:type="dxa"/>
            <w:tcBorders>
              <w:top w:val="single" w:sz="8" w:space="0" w:color="FFFFFF"/>
              <w:left w:val="single" w:sz="8" w:space="0" w:color="FFFFFF"/>
              <w:bottom w:val="single" w:sz="8" w:space="0" w:color="FFFFFF"/>
              <w:right w:val="single" w:sz="8" w:space="0" w:color="FFFFFF"/>
            </w:tcBorders>
            <w:shd w:val="clear" w:color="auto" w:fill="E8F1FB"/>
            <w:tcMar>
              <w:top w:w="15" w:type="dxa"/>
              <w:left w:w="108" w:type="dxa"/>
              <w:bottom w:w="15" w:type="dxa"/>
              <w:right w:w="108" w:type="dxa"/>
            </w:tcMar>
            <w:vAlign w:val="center"/>
            <w:hideMark/>
          </w:tcPr>
          <w:p w14:paraId="16943618" w14:textId="77777777" w:rsidR="00584A79" w:rsidRPr="00933E88" w:rsidRDefault="00584A79" w:rsidP="00C64109">
            <w:pPr>
              <w:spacing w:after="0" w:line="254" w:lineRule="auto"/>
              <w:jc w:val="center"/>
              <w:rPr>
                <w:rFonts w:eastAsia="Times New Roman" w:cs="Arial"/>
                <w:sz w:val="20"/>
                <w:szCs w:val="20"/>
              </w:rPr>
            </w:pPr>
            <w:r w:rsidRPr="00933E88">
              <w:rPr>
                <w:rFonts w:eastAsia="Calibri" w:cs="Times New Roman"/>
                <w:color w:val="595959" w:themeColor="text1" w:themeTint="A6"/>
                <w:kern w:val="24"/>
                <w:sz w:val="20"/>
                <w:szCs w:val="20"/>
              </w:rPr>
              <w:t>All tanks, above ground</w:t>
            </w:r>
          </w:p>
        </w:tc>
      </w:tr>
      <w:tr w:rsidR="00584A79" w:rsidRPr="00C64109" w14:paraId="266CCC63" w14:textId="77777777" w:rsidTr="003D66F8">
        <w:trPr>
          <w:trHeight w:val="328"/>
        </w:trPr>
        <w:tc>
          <w:tcPr>
            <w:tcW w:w="0" w:type="auto"/>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15" w:type="dxa"/>
              <w:right w:w="108" w:type="dxa"/>
            </w:tcMar>
            <w:vAlign w:val="center"/>
            <w:hideMark/>
          </w:tcPr>
          <w:p w14:paraId="4BFFEC46" w14:textId="77777777" w:rsidR="00584A79" w:rsidRPr="00584A79" w:rsidRDefault="00584A79" w:rsidP="00C64109">
            <w:pPr>
              <w:spacing w:after="0" w:line="254" w:lineRule="auto"/>
              <w:ind w:firstLine="202"/>
              <w:rPr>
                <w:rFonts w:eastAsia="Times New Roman" w:cs="Arial"/>
                <w:color w:val="262626" w:themeColor="text1" w:themeTint="D9"/>
                <w:sz w:val="20"/>
                <w:szCs w:val="20"/>
              </w:rPr>
            </w:pPr>
            <w:r w:rsidRPr="00584A79">
              <w:rPr>
                <w:rFonts w:eastAsia="Calibri" w:cs="Times New Roman"/>
                <w:color w:val="262626" w:themeColor="text1" w:themeTint="D9"/>
                <w:kern w:val="24"/>
                <w:sz w:val="20"/>
                <w:szCs w:val="20"/>
              </w:rPr>
              <w:t>Engine Compatibility</w:t>
            </w:r>
          </w:p>
        </w:tc>
        <w:tc>
          <w:tcPr>
            <w:tcW w:w="3113"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15" w:type="dxa"/>
              <w:right w:w="108" w:type="dxa"/>
            </w:tcMar>
            <w:vAlign w:val="center"/>
            <w:hideMark/>
          </w:tcPr>
          <w:p w14:paraId="3418216E" w14:textId="77777777" w:rsidR="00584A79" w:rsidRPr="00933E88" w:rsidRDefault="00584A79" w:rsidP="00C64109">
            <w:pPr>
              <w:spacing w:after="0" w:line="254" w:lineRule="auto"/>
              <w:ind w:left="173"/>
              <w:jc w:val="center"/>
              <w:rPr>
                <w:rFonts w:eastAsia="Times New Roman" w:cs="Arial"/>
                <w:sz w:val="20"/>
                <w:szCs w:val="20"/>
              </w:rPr>
            </w:pPr>
            <w:r w:rsidRPr="00933E88">
              <w:rPr>
                <w:rFonts w:eastAsia="Calibri" w:cs="Times New Roman"/>
                <w:color w:val="595959" w:themeColor="text1" w:themeTint="A6"/>
                <w:kern w:val="24"/>
                <w:sz w:val="20"/>
                <w:szCs w:val="20"/>
              </w:rPr>
              <w:t>&lt; 20% BD to meet warrant</w:t>
            </w:r>
            <w:r w:rsidR="003D66F8">
              <w:rPr>
                <w:rFonts w:eastAsia="Calibri" w:cs="Times New Roman"/>
                <w:color w:val="595959" w:themeColor="text1" w:themeTint="A6"/>
                <w:kern w:val="24"/>
                <w:sz w:val="20"/>
                <w:szCs w:val="20"/>
              </w:rPr>
              <w:t>ies</w:t>
            </w:r>
          </w:p>
        </w:tc>
        <w:tc>
          <w:tcPr>
            <w:tcW w:w="360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15" w:type="dxa"/>
              <w:right w:w="108" w:type="dxa"/>
            </w:tcMar>
            <w:vAlign w:val="center"/>
            <w:hideMark/>
          </w:tcPr>
          <w:p w14:paraId="1CC7574C" w14:textId="77777777" w:rsidR="00584A79" w:rsidRPr="00933E88" w:rsidRDefault="00584A79" w:rsidP="00C64109">
            <w:pPr>
              <w:spacing w:after="0" w:line="254" w:lineRule="auto"/>
              <w:jc w:val="center"/>
              <w:rPr>
                <w:rFonts w:eastAsia="Times New Roman" w:cs="Arial"/>
                <w:sz w:val="20"/>
                <w:szCs w:val="20"/>
              </w:rPr>
            </w:pPr>
            <w:r w:rsidRPr="00933E88">
              <w:rPr>
                <w:rFonts w:eastAsia="Calibri" w:cs="Times New Roman"/>
                <w:color w:val="595959" w:themeColor="text1" w:themeTint="A6"/>
                <w:kern w:val="24"/>
                <w:sz w:val="20"/>
                <w:szCs w:val="20"/>
              </w:rPr>
              <w:t>&lt; 20% BD to meet manuf. warranty</w:t>
            </w:r>
          </w:p>
        </w:tc>
      </w:tr>
      <w:tr w:rsidR="00584A79" w:rsidRPr="00C64109" w14:paraId="2EFFD72D" w14:textId="77777777" w:rsidTr="003D66F8">
        <w:trPr>
          <w:trHeight w:val="310"/>
        </w:trPr>
        <w:tc>
          <w:tcPr>
            <w:tcW w:w="0" w:type="auto"/>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15" w:type="dxa"/>
              <w:right w:w="108" w:type="dxa"/>
            </w:tcMar>
            <w:vAlign w:val="center"/>
            <w:hideMark/>
          </w:tcPr>
          <w:p w14:paraId="36E9BA46" w14:textId="77777777" w:rsidR="00584A79" w:rsidRPr="00584A79" w:rsidRDefault="00584A79" w:rsidP="00C64109">
            <w:pPr>
              <w:spacing w:after="0" w:line="254" w:lineRule="auto"/>
              <w:ind w:firstLine="202"/>
              <w:rPr>
                <w:rFonts w:eastAsia="Times New Roman" w:cs="Arial"/>
                <w:color w:val="262626" w:themeColor="text1" w:themeTint="D9"/>
                <w:sz w:val="20"/>
                <w:szCs w:val="20"/>
              </w:rPr>
            </w:pPr>
            <w:r w:rsidRPr="00584A79">
              <w:rPr>
                <w:rFonts w:eastAsia="Calibri" w:cs="Times New Roman"/>
                <w:color w:val="262626" w:themeColor="text1" w:themeTint="D9"/>
                <w:kern w:val="24"/>
                <w:sz w:val="20"/>
                <w:szCs w:val="20"/>
              </w:rPr>
              <w:t>Cetane</w:t>
            </w:r>
          </w:p>
        </w:tc>
        <w:tc>
          <w:tcPr>
            <w:tcW w:w="3113" w:type="dxa"/>
            <w:tcBorders>
              <w:top w:val="single" w:sz="8" w:space="0" w:color="FFFFFF"/>
              <w:left w:val="single" w:sz="8" w:space="0" w:color="FFFFFF"/>
              <w:bottom w:val="single" w:sz="8" w:space="0" w:color="FFFFFF"/>
              <w:right w:val="single" w:sz="8" w:space="0" w:color="FFFFFF"/>
            </w:tcBorders>
            <w:shd w:val="clear" w:color="auto" w:fill="E8F1FB"/>
            <w:tcMar>
              <w:top w:w="15" w:type="dxa"/>
              <w:left w:w="108" w:type="dxa"/>
              <w:bottom w:w="15" w:type="dxa"/>
              <w:right w:w="108" w:type="dxa"/>
            </w:tcMar>
            <w:vAlign w:val="center"/>
            <w:hideMark/>
          </w:tcPr>
          <w:p w14:paraId="3F9BCDC5" w14:textId="77777777" w:rsidR="00584A79" w:rsidRPr="00933E88" w:rsidRDefault="00584A79" w:rsidP="00C64109">
            <w:pPr>
              <w:spacing w:after="0" w:line="254" w:lineRule="auto"/>
              <w:ind w:left="173"/>
              <w:jc w:val="center"/>
              <w:rPr>
                <w:rFonts w:eastAsia="Times New Roman" w:cs="Arial"/>
                <w:sz w:val="20"/>
                <w:szCs w:val="20"/>
              </w:rPr>
            </w:pPr>
            <w:r w:rsidRPr="00933E88">
              <w:rPr>
                <w:rFonts w:eastAsia="Calibri" w:cs="Times New Roman"/>
                <w:color w:val="595959" w:themeColor="text1" w:themeTint="A6"/>
                <w:kern w:val="24"/>
                <w:sz w:val="20"/>
                <w:szCs w:val="20"/>
              </w:rPr>
              <w:t>About 47 to 51</w:t>
            </w:r>
          </w:p>
        </w:tc>
        <w:tc>
          <w:tcPr>
            <w:tcW w:w="3600" w:type="dxa"/>
            <w:tcBorders>
              <w:top w:val="single" w:sz="8" w:space="0" w:color="FFFFFF"/>
              <w:left w:val="single" w:sz="8" w:space="0" w:color="FFFFFF"/>
              <w:bottom w:val="single" w:sz="8" w:space="0" w:color="FFFFFF"/>
              <w:right w:val="single" w:sz="8" w:space="0" w:color="FFFFFF"/>
            </w:tcBorders>
            <w:shd w:val="clear" w:color="auto" w:fill="E8F1FB"/>
            <w:tcMar>
              <w:top w:w="15" w:type="dxa"/>
              <w:left w:w="108" w:type="dxa"/>
              <w:bottom w:w="15" w:type="dxa"/>
              <w:right w:w="108" w:type="dxa"/>
            </w:tcMar>
            <w:vAlign w:val="center"/>
            <w:hideMark/>
          </w:tcPr>
          <w:p w14:paraId="5731DD33" w14:textId="5409D355" w:rsidR="00584A79" w:rsidRPr="00933E88" w:rsidRDefault="00584A79" w:rsidP="00C64109">
            <w:pPr>
              <w:spacing w:after="0" w:line="254" w:lineRule="auto"/>
              <w:jc w:val="center"/>
              <w:rPr>
                <w:rFonts w:eastAsia="Times New Roman" w:cs="Arial"/>
                <w:sz w:val="20"/>
                <w:szCs w:val="20"/>
              </w:rPr>
            </w:pPr>
            <w:r w:rsidRPr="00933E88">
              <w:rPr>
                <w:rFonts w:eastAsia="Calibri" w:cs="Times New Roman"/>
                <w:color w:val="595959" w:themeColor="text1" w:themeTint="A6"/>
                <w:kern w:val="24"/>
                <w:sz w:val="20"/>
                <w:szCs w:val="20"/>
              </w:rPr>
              <w:t>About 47 to 5</w:t>
            </w:r>
            <w:r w:rsidR="00FD1EDE">
              <w:rPr>
                <w:rFonts w:eastAsia="Calibri" w:cs="Times New Roman"/>
                <w:color w:val="595959" w:themeColor="text1" w:themeTint="A6"/>
                <w:kern w:val="24"/>
                <w:sz w:val="20"/>
                <w:szCs w:val="20"/>
              </w:rPr>
              <w:t>5</w:t>
            </w:r>
          </w:p>
        </w:tc>
      </w:tr>
      <w:tr w:rsidR="00584A79" w:rsidRPr="00C64109" w14:paraId="49AE674C" w14:textId="77777777" w:rsidTr="003D66F8">
        <w:trPr>
          <w:trHeight w:val="490"/>
        </w:trPr>
        <w:tc>
          <w:tcPr>
            <w:tcW w:w="0" w:type="auto"/>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15" w:type="dxa"/>
              <w:right w:w="108" w:type="dxa"/>
            </w:tcMar>
            <w:vAlign w:val="center"/>
            <w:hideMark/>
          </w:tcPr>
          <w:p w14:paraId="27EEB789" w14:textId="77777777" w:rsidR="00584A79" w:rsidRPr="00584A79" w:rsidRDefault="00584A79" w:rsidP="00C64109">
            <w:pPr>
              <w:spacing w:after="0" w:line="254" w:lineRule="auto"/>
              <w:ind w:firstLine="202"/>
              <w:rPr>
                <w:rFonts w:eastAsia="Times New Roman" w:cs="Arial"/>
                <w:color w:val="262626" w:themeColor="text1" w:themeTint="D9"/>
                <w:sz w:val="20"/>
                <w:szCs w:val="20"/>
              </w:rPr>
            </w:pPr>
            <w:r w:rsidRPr="00584A79">
              <w:rPr>
                <w:rFonts w:eastAsia="Calibri" w:cs="Times New Roman"/>
                <w:color w:val="262626" w:themeColor="text1" w:themeTint="D9"/>
                <w:kern w:val="24"/>
                <w:sz w:val="20"/>
                <w:szCs w:val="20"/>
              </w:rPr>
              <w:t>Cloud Point</w:t>
            </w:r>
          </w:p>
        </w:tc>
        <w:tc>
          <w:tcPr>
            <w:tcW w:w="3113"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15" w:type="dxa"/>
              <w:right w:w="108" w:type="dxa"/>
            </w:tcMar>
            <w:vAlign w:val="center"/>
            <w:hideMark/>
          </w:tcPr>
          <w:p w14:paraId="0C03C29D" w14:textId="5E196F8F" w:rsidR="00584A79" w:rsidRPr="00933E88" w:rsidRDefault="00584A79" w:rsidP="00C64109">
            <w:pPr>
              <w:spacing w:after="0" w:line="254" w:lineRule="auto"/>
              <w:ind w:left="173"/>
              <w:jc w:val="center"/>
              <w:rPr>
                <w:rFonts w:eastAsia="Times New Roman" w:cs="Arial"/>
                <w:sz w:val="20"/>
                <w:szCs w:val="20"/>
              </w:rPr>
            </w:pPr>
            <w:r w:rsidRPr="00933E88">
              <w:rPr>
                <w:rFonts w:eastAsia="Calibri" w:cs="Times New Roman"/>
                <w:color w:val="595959" w:themeColor="text1" w:themeTint="A6"/>
                <w:kern w:val="24"/>
                <w:sz w:val="20"/>
                <w:szCs w:val="20"/>
              </w:rPr>
              <w:t xml:space="preserve">Depending on feedstock blend </w:t>
            </w:r>
            <w:r w:rsidRPr="00933E88">
              <w:rPr>
                <w:rFonts w:eastAsia="Calibri" w:cs="Times New Roman"/>
                <w:color w:val="595959" w:themeColor="text1" w:themeTint="A6"/>
                <w:kern w:val="24"/>
                <w:sz w:val="20"/>
                <w:szCs w:val="20"/>
              </w:rPr>
              <w:br/>
              <w:t>-</w:t>
            </w:r>
            <w:r w:rsidR="00FD1EDE">
              <w:rPr>
                <w:rFonts w:eastAsia="Calibri" w:cs="Times New Roman"/>
                <w:color w:val="595959" w:themeColor="text1" w:themeTint="A6"/>
                <w:kern w:val="24"/>
                <w:sz w:val="20"/>
                <w:szCs w:val="20"/>
              </w:rPr>
              <w:t>2</w:t>
            </w:r>
            <w:r w:rsidRPr="00933E88">
              <w:rPr>
                <w:rFonts w:eastAsia="Calibri" w:cs="Times New Roman"/>
                <w:color w:val="595959" w:themeColor="text1" w:themeTint="A6"/>
                <w:kern w:val="24"/>
                <w:sz w:val="20"/>
                <w:szCs w:val="20"/>
              </w:rPr>
              <w:t>°C to +8°C</w:t>
            </w:r>
          </w:p>
        </w:tc>
        <w:tc>
          <w:tcPr>
            <w:tcW w:w="360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15" w:type="dxa"/>
              <w:right w:w="108" w:type="dxa"/>
            </w:tcMar>
            <w:vAlign w:val="center"/>
            <w:hideMark/>
          </w:tcPr>
          <w:p w14:paraId="074DAB39" w14:textId="6F2ACCEC" w:rsidR="00584A79" w:rsidRPr="00933E88" w:rsidRDefault="00584A79" w:rsidP="00C64109">
            <w:pPr>
              <w:spacing w:after="0" w:line="254" w:lineRule="auto"/>
              <w:jc w:val="center"/>
              <w:rPr>
                <w:rFonts w:eastAsia="Times New Roman" w:cs="Arial"/>
                <w:sz w:val="20"/>
                <w:szCs w:val="20"/>
              </w:rPr>
            </w:pPr>
            <w:r w:rsidRPr="00933E88">
              <w:rPr>
                <w:rFonts w:eastAsia="Calibri" w:cs="Times New Roman"/>
                <w:color w:val="595959" w:themeColor="text1" w:themeTint="A6"/>
                <w:kern w:val="24"/>
                <w:sz w:val="20"/>
                <w:szCs w:val="20"/>
              </w:rPr>
              <w:t xml:space="preserve">Depending on feedstock blend </w:t>
            </w:r>
            <w:r w:rsidRPr="00933E88">
              <w:rPr>
                <w:rFonts w:eastAsia="Calibri" w:cs="Times New Roman"/>
                <w:color w:val="595959" w:themeColor="text1" w:themeTint="A6"/>
                <w:kern w:val="24"/>
                <w:sz w:val="20"/>
                <w:szCs w:val="20"/>
              </w:rPr>
              <w:br/>
            </w:r>
            <w:r w:rsidR="00FD1EDE">
              <w:rPr>
                <w:rFonts w:eastAsia="Calibri" w:cs="Times New Roman"/>
                <w:color w:val="595959" w:themeColor="text1" w:themeTint="A6"/>
                <w:kern w:val="24"/>
                <w:sz w:val="20"/>
                <w:szCs w:val="20"/>
              </w:rPr>
              <w:t>-5</w:t>
            </w:r>
            <w:r w:rsidRPr="00933E88">
              <w:rPr>
                <w:rFonts w:eastAsia="Calibri" w:cs="Times New Roman"/>
                <w:color w:val="595959" w:themeColor="text1" w:themeTint="A6"/>
                <w:kern w:val="24"/>
                <w:sz w:val="20"/>
                <w:szCs w:val="20"/>
              </w:rPr>
              <w:t>°C to +8°C</w:t>
            </w:r>
          </w:p>
        </w:tc>
      </w:tr>
      <w:tr w:rsidR="00584A79" w:rsidRPr="00C64109" w14:paraId="135DDDE4" w14:textId="77777777" w:rsidTr="003D66F8">
        <w:trPr>
          <w:trHeight w:val="463"/>
        </w:trPr>
        <w:tc>
          <w:tcPr>
            <w:tcW w:w="0" w:type="auto"/>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15" w:type="dxa"/>
              <w:right w:w="108" w:type="dxa"/>
            </w:tcMar>
            <w:vAlign w:val="center"/>
            <w:hideMark/>
          </w:tcPr>
          <w:p w14:paraId="42BDB44A" w14:textId="77777777" w:rsidR="00584A79" w:rsidRPr="00584A79" w:rsidRDefault="00584A79" w:rsidP="00C64109">
            <w:pPr>
              <w:spacing w:after="0" w:line="254" w:lineRule="auto"/>
              <w:ind w:firstLine="202"/>
              <w:rPr>
                <w:rFonts w:eastAsia="Times New Roman" w:cs="Arial"/>
                <w:color w:val="262626" w:themeColor="text1" w:themeTint="D9"/>
                <w:sz w:val="20"/>
                <w:szCs w:val="20"/>
              </w:rPr>
            </w:pPr>
            <w:r w:rsidRPr="00584A79">
              <w:rPr>
                <w:rFonts w:eastAsia="Calibri" w:cs="Times New Roman"/>
                <w:color w:val="262626" w:themeColor="text1" w:themeTint="D9"/>
                <w:kern w:val="24"/>
                <w:sz w:val="20"/>
                <w:szCs w:val="20"/>
              </w:rPr>
              <w:t>Distribution</w:t>
            </w:r>
          </w:p>
        </w:tc>
        <w:tc>
          <w:tcPr>
            <w:tcW w:w="3113" w:type="dxa"/>
            <w:tcBorders>
              <w:top w:val="single" w:sz="8" w:space="0" w:color="FFFFFF"/>
              <w:left w:val="single" w:sz="8" w:space="0" w:color="FFFFFF"/>
              <w:bottom w:val="single" w:sz="8" w:space="0" w:color="FFFFFF"/>
              <w:right w:val="single" w:sz="8" w:space="0" w:color="FFFFFF"/>
            </w:tcBorders>
            <w:shd w:val="clear" w:color="auto" w:fill="E8F1FB"/>
            <w:tcMar>
              <w:top w:w="15" w:type="dxa"/>
              <w:left w:w="108" w:type="dxa"/>
              <w:bottom w:w="15" w:type="dxa"/>
              <w:right w:w="108" w:type="dxa"/>
            </w:tcMar>
            <w:vAlign w:val="center"/>
            <w:hideMark/>
          </w:tcPr>
          <w:p w14:paraId="02BA4105" w14:textId="77777777" w:rsidR="00584A79" w:rsidRPr="00933E88" w:rsidRDefault="00584A79" w:rsidP="00C64109">
            <w:pPr>
              <w:spacing w:after="0" w:line="254" w:lineRule="auto"/>
              <w:ind w:left="173"/>
              <w:jc w:val="center"/>
              <w:rPr>
                <w:rFonts w:eastAsia="Times New Roman" w:cs="Arial"/>
                <w:sz w:val="20"/>
                <w:szCs w:val="20"/>
              </w:rPr>
            </w:pPr>
            <w:r w:rsidRPr="00933E88">
              <w:rPr>
                <w:rFonts w:eastAsia="Calibri" w:cs="Times New Roman"/>
                <w:color w:val="595959" w:themeColor="text1" w:themeTint="A6"/>
                <w:kern w:val="24"/>
                <w:sz w:val="20"/>
                <w:szCs w:val="20"/>
              </w:rPr>
              <w:t>Max blend to &lt;80% biodiesel, typically to 2% to 20%</w:t>
            </w:r>
          </w:p>
        </w:tc>
        <w:tc>
          <w:tcPr>
            <w:tcW w:w="3600" w:type="dxa"/>
            <w:tcBorders>
              <w:top w:val="single" w:sz="8" w:space="0" w:color="FFFFFF"/>
              <w:left w:val="single" w:sz="8" w:space="0" w:color="FFFFFF"/>
              <w:bottom w:val="single" w:sz="8" w:space="0" w:color="FFFFFF"/>
              <w:right w:val="single" w:sz="8" w:space="0" w:color="FFFFFF"/>
            </w:tcBorders>
            <w:shd w:val="clear" w:color="auto" w:fill="E8F1FB"/>
            <w:tcMar>
              <w:top w:w="15" w:type="dxa"/>
              <w:left w:w="108" w:type="dxa"/>
              <w:bottom w:w="15" w:type="dxa"/>
              <w:right w:w="108" w:type="dxa"/>
            </w:tcMar>
            <w:vAlign w:val="center"/>
            <w:hideMark/>
          </w:tcPr>
          <w:p w14:paraId="3E5D10E4" w14:textId="77777777" w:rsidR="00584A79" w:rsidRPr="00933E88" w:rsidRDefault="00584A79" w:rsidP="00C64109">
            <w:pPr>
              <w:spacing w:after="0" w:line="254" w:lineRule="auto"/>
              <w:jc w:val="center"/>
              <w:rPr>
                <w:rFonts w:eastAsia="Times New Roman" w:cs="Arial"/>
                <w:sz w:val="20"/>
                <w:szCs w:val="20"/>
              </w:rPr>
            </w:pPr>
            <w:r w:rsidRPr="00933E88">
              <w:rPr>
                <w:rFonts w:eastAsia="Calibri" w:cs="Times New Roman"/>
                <w:color w:val="595959" w:themeColor="text1" w:themeTint="A6"/>
                <w:kern w:val="24"/>
                <w:sz w:val="20"/>
                <w:szCs w:val="20"/>
              </w:rPr>
              <w:t>Must be blended to &lt;80% biodiesel, typically 2% to 20%</w:t>
            </w:r>
          </w:p>
        </w:tc>
      </w:tr>
      <w:tr w:rsidR="00584A79" w:rsidRPr="00C64109" w14:paraId="472B63F0" w14:textId="77777777" w:rsidTr="003D66F8">
        <w:trPr>
          <w:trHeight w:val="427"/>
        </w:trPr>
        <w:tc>
          <w:tcPr>
            <w:tcW w:w="0" w:type="auto"/>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15" w:type="dxa"/>
              <w:right w:w="108" w:type="dxa"/>
            </w:tcMar>
            <w:vAlign w:val="center"/>
            <w:hideMark/>
          </w:tcPr>
          <w:p w14:paraId="13161CE4" w14:textId="77777777" w:rsidR="00584A79" w:rsidRPr="00584A79" w:rsidRDefault="00584A79" w:rsidP="00C64109">
            <w:pPr>
              <w:spacing w:after="0" w:line="254" w:lineRule="auto"/>
              <w:ind w:firstLine="202"/>
              <w:rPr>
                <w:rFonts w:eastAsia="Times New Roman" w:cs="Arial"/>
                <w:color w:val="262626" w:themeColor="text1" w:themeTint="D9"/>
                <w:sz w:val="20"/>
                <w:szCs w:val="20"/>
              </w:rPr>
            </w:pPr>
            <w:r w:rsidRPr="00584A79">
              <w:rPr>
                <w:rFonts w:eastAsia="Calibri" w:cs="Times New Roman"/>
                <w:color w:val="262626" w:themeColor="text1" w:themeTint="D9"/>
                <w:kern w:val="24"/>
                <w:sz w:val="20"/>
                <w:szCs w:val="20"/>
              </w:rPr>
              <w:t>Fuel Color</w:t>
            </w:r>
          </w:p>
        </w:tc>
        <w:tc>
          <w:tcPr>
            <w:tcW w:w="3113"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15" w:type="dxa"/>
              <w:right w:w="108" w:type="dxa"/>
            </w:tcMar>
            <w:vAlign w:val="center"/>
            <w:hideMark/>
          </w:tcPr>
          <w:p w14:paraId="525F1EFC" w14:textId="77777777" w:rsidR="00584A79" w:rsidRPr="00933E88" w:rsidRDefault="00584A79" w:rsidP="00C64109">
            <w:pPr>
              <w:spacing w:after="0" w:line="254" w:lineRule="auto"/>
              <w:ind w:firstLine="202"/>
              <w:jc w:val="center"/>
              <w:rPr>
                <w:rFonts w:eastAsia="Times New Roman" w:cs="Arial"/>
                <w:sz w:val="20"/>
                <w:szCs w:val="20"/>
              </w:rPr>
            </w:pPr>
            <w:r w:rsidRPr="00933E88">
              <w:rPr>
                <w:rFonts w:eastAsia="Calibri" w:cs="Times New Roman"/>
                <w:color w:val="595959" w:themeColor="text1" w:themeTint="A6"/>
                <w:kern w:val="24"/>
                <w:sz w:val="20"/>
                <w:szCs w:val="20"/>
              </w:rPr>
              <w:t xml:space="preserve">Light yellow/ or light red </w:t>
            </w:r>
          </w:p>
        </w:tc>
        <w:tc>
          <w:tcPr>
            <w:tcW w:w="360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15" w:type="dxa"/>
              <w:right w:w="108" w:type="dxa"/>
            </w:tcMar>
            <w:vAlign w:val="center"/>
            <w:hideMark/>
          </w:tcPr>
          <w:p w14:paraId="26348051" w14:textId="77777777" w:rsidR="00584A79" w:rsidRPr="00933E88" w:rsidRDefault="00584A79" w:rsidP="00C64109">
            <w:pPr>
              <w:spacing w:after="0" w:line="254" w:lineRule="auto"/>
              <w:jc w:val="center"/>
              <w:rPr>
                <w:rFonts w:eastAsia="Times New Roman" w:cs="Arial"/>
                <w:sz w:val="20"/>
                <w:szCs w:val="20"/>
              </w:rPr>
            </w:pPr>
            <w:r w:rsidRPr="00933E88">
              <w:rPr>
                <w:rFonts w:eastAsia="Calibri" w:cs="Times New Roman"/>
                <w:color w:val="595959" w:themeColor="text1" w:themeTint="A6"/>
                <w:kern w:val="24"/>
                <w:sz w:val="20"/>
                <w:szCs w:val="20"/>
              </w:rPr>
              <w:t>Clear (like water)</w:t>
            </w:r>
          </w:p>
        </w:tc>
      </w:tr>
      <w:tr w:rsidR="00584A79" w:rsidRPr="00C64109" w14:paraId="245F947F" w14:textId="77777777" w:rsidTr="003D66F8">
        <w:trPr>
          <w:trHeight w:val="537"/>
        </w:trPr>
        <w:tc>
          <w:tcPr>
            <w:tcW w:w="0" w:type="auto"/>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15" w:type="dxa"/>
              <w:right w:w="108" w:type="dxa"/>
            </w:tcMar>
            <w:vAlign w:val="center"/>
            <w:hideMark/>
          </w:tcPr>
          <w:p w14:paraId="66A5D716" w14:textId="77777777" w:rsidR="00584A79" w:rsidRPr="00584A79" w:rsidRDefault="00584A79" w:rsidP="00C64109">
            <w:pPr>
              <w:spacing w:after="0" w:line="254" w:lineRule="auto"/>
              <w:ind w:firstLine="202"/>
              <w:rPr>
                <w:rFonts w:eastAsia="Times New Roman" w:cs="Arial"/>
                <w:color w:val="262626" w:themeColor="text1" w:themeTint="D9"/>
                <w:sz w:val="20"/>
                <w:szCs w:val="20"/>
              </w:rPr>
            </w:pPr>
            <w:r w:rsidRPr="00584A79">
              <w:rPr>
                <w:rFonts w:eastAsia="Calibri" w:cs="Times New Roman"/>
                <w:color w:val="262626" w:themeColor="text1" w:themeTint="D9"/>
                <w:kern w:val="24"/>
                <w:sz w:val="20"/>
                <w:szCs w:val="20"/>
              </w:rPr>
              <w:t>Retail Infrastructure</w:t>
            </w:r>
          </w:p>
        </w:tc>
        <w:tc>
          <w:tcPr>
            <w:tcW w:w="3113" w:type="dxa"/>
            <w:tcBorders>
              <w:top w:val="single" w:sz="8" w:space="0" w:color="FFFFFF"/>
              <w:left w:val="single" w:sz="8" w:space="0" w:color="FFFFFF"/>
              <w:bottom w:val="single" w:sz="8" w:space="0" w:color="FFFFFF"/>
              <w:right w:val="single" w:sz="8" w:space="0" w:color="FFFFFF"/>
            </w:tcBorders>
            <w:shd w:val="clear" w:color="auto" w:fill="E8F1FB"/>
            <w:tcMar>
              <w:top w:w="15" w:type="dxa"/>
              <w:left w:w="108" w:type="dxa"/>
              <w:bottom w:w="15" w:type="dxa"/>
              <w:right w:w="108" w:type="dxa"/>
            </w:tcMar>
            <w:vAlign w:val="center"/>
            <w:hideMark/>
          </w:tcPr>
          <w:p w14:paraId="03394C39" w14:textId="77777777" w:rsidR="00584A79" w:rsidRPr="00933E88" w:rsidRDefault="00584A79" w:rsidP="00C64109">
            <w:pPr>
              <w:spacing w:after="0" w:line="254" w:lineRule="auto"/>
              <w:ind w:firstLine="202"/>
              <w:jc w:val="center"/>
              <w:rPr>
                <w:rFonts w:eastAsia="Times New Roman" w:cs="Arial"/>
                <w:sz w:val="20"/>
                <w:szCs w:val="20"/>
              </w:rPr>
            </w:pPr>
            <w:r w:rsidRPr="00933E88">
              <w:rPr>
                <w:rFonts w:eastAsia="Calibri" w:cs="Times New Roman"/>
                <w:color w:val="595959" w:themeColor="text1" w:themeTint="A6"/>
                <w:kern w:val="24"/>
                <w:sz w:val="20"/>
                <w:szCs w:val="20"/>
              </w:rPr>
              <w:t>Separate pumps, tanks if 100%</w:t>
            </w:r>
          </w:p>
        </w:tc>
        <w:tc>
          <w:tcPr>
            <w:tcW w:w="3600" w:type="dxa"/>
            <w:tcBorders>
              <w:top w:val="single" w:sz="8" w:space="0" w:color="FFFFFF"/>
              <w:left w:val="single" w:sz="8" w:space="0" w:color="FFFFFF"/>
              <w:bottom w:val="single" w:sz="8" w:space="0" w:color="FFFFFF"/>
              <w:right w:val="single" w:sz="8" w:space="0" w:color="FFFFFF"/>
            </w:tcBorders>
            <w:shd w:val="clear" w:color="auto" w:fill="E8F1FB"/>
            <w:tcMar>
              <w:top w:w="15" w:type="dxa"/>
              <w:left w:w="108" w:type="dxa"/>
              <w:bottom w:w="15" w:type="dxa"/>
              <w:right w:w="108" w:type="dxa"/>
            </w:tcMar>
            <w:vAlign w:val="center"/>
            <w:hideMark/>
          </w:tcPr>
          <w:p w14:paraId="482DE965" w14:textId="77777777" w:rsidR="00584A79" w:rsidRPr="00933E88" w:rsidRDefault="00584A79" w:rsidP="00C64109">
            <w:pPr>
              <w:spacing w:after="0" w:line="254" w:lineRule="auto"/>
              <w:jc w:val="center"/>
              <w:rPr>
                <w:rFonts w:eastAsia="Times New Roman" w:cs="Arial"/>
                <w:sz w:val="20"/>
                <w:szCs w:val="20"/>
              </w:rPr>
            </w:pPr>
            <w:r w:rsidRPr="00933E88">
              <w:rPr>
                <w:rFonts w:eastAsia="Calibri" w:cs="Times New Roman"/>
                <w:color w:val="595959" w:themeColor="text1" w:themeTint="A6"/>
                <w:kern w:val="24"/>
                <w:sz w:val="20"/>
                <w:szCs w:val="20"/>
              </w:rPr>
              <w:t>Separate pumps, tanks if 100%</w:t>
            </w:r>
          </w:p>
        </w:tc>
      </w:tr>
    </w:tbl>
    <w:p w14:paraId="01D09D97" w14:textId="77777777" w:rsidR="00C64109" w:rsidRPr="006100CE" w:rsidRDefault="00C64109" w:rsidP="00C64109">
      <w:pPr>
        <w:tabs>
          <w:tab w:val="left" w:pos="720"/>
        </w:tabs>
        <w:spacing w:after="480" w:line="300" w:lineRule="auto"/>
        <w:rPr>
          <w:b/>
          <w:color w:val="262626" w:themeColor="text1" w:themeTint="D9"/>
          <w:sz w:val="24"/>
          <w:szCs w:val="24"/>
        </w:rPr>
      </w:pPr>
      <w:r w:rsidRPr="006100CE">
        <w:rPr>
          <w:b/>
          <w:color w:val="262626" w:themeColor="text1" w:themeTint="D9"/>
          <w:sz w:val="24"/>
          <w:szCs w:val="24"/>
        </w:rPr>
        <w:t xml:space="preserve">Table I. </w:t>
      </w:r>
      <w:r w:rsidR="0012245C" w:rsidRPr="006100CE">
        <w:rPr>
          <w:b/>
          <w:color w:val="262626" w:themeColor="text1" w:themeTint="D9"/>
          <w:sz w:val="24"/>
          <w:szCs w:val="24"/>
        </w:rPr>
        <w:t xml:space="preserve"> </w:t>
      </w:r>
      <w:r w:rsidR="00DB0D0D" w:rsidRPr="006100CE">
        <w:rPr>
          <w:b/>
          <w:color w:val="262626" w:themeColor="text1" w:themeTint="D9"/>
          <w:sz w:val="24"/>
          <w:szCs w:val="24"/>
        </w:rPr>
        <w:t>Features Comparison</w:t>
      </w:r>
      <w:r w:rsidR="0012245C" w:rsidRPr="006100CE">
        <w:rPr>
          <w:b/>
          <w:color w:val="262626" w:themeColor="text1" w:themeTint="D9"/>
          <w:sz w:val="24"/>
          <w:szCs w:val="24"/>
        </w:rPr>
        <w:t xml:space="preserve"> (Traditional Biodiesel vs. Super)</w:t>
      </w:r>
    </w:p>
    <w:tbl>
      <w:tblPr>
        <w:tblpPr w:leftFromText="180" w:rightFromText="180" w:vertAnchor="text" w:horzAnchor="margin" w:tblpY="5446"/>
        <w:tblW w:w="8810" w:type="dxa"/>
        <w:tblCellMar>
          <w:left w:w="0" w:type="dxa"/>
          <w:right w:w="0" w:type="dxa"/>
        </w:tblCellMar>
        <w:tblLook w:val="0420" w:firstRow="1" w:lastRow="0" w:firstColumn="0" w:lastColumn="0" w:noHBand="0" w:noVBand="1"/>
      </w:tblPr>
      <w:tblGrid>
        <w:gridCol w:w="2330"/>
        <w:gridCol w:w="2880"/>
        <w:gridCol w:w="3600"/>
      </w:tblGrid>
      <w:tr w:rsidR="003D66F8" w:rsidRPr="00DB0D0D" w14:paraId="57C7A4C5" w14:textId="77777777" w:rsidTr="003D66F8">
        <w:trPr>
          <w:trHeight w:val="268"/>
        </w:trPr>
        <w:tc>
          <w:tcPr>
            <w:tcW w:w="2330" w:type="dxa"/>
            <w:tcBorders>
              <w:top w:val="single" w:sz="8" w:space="0" w:color="FFFFFF"/>
              <w:left w:val="single" w:sz="8" w:space="0" w:color="FFFFFF"/>
              <w:bottom w:val="single" w:sz="24" w:space="0" w:color="FFFFFF"/>
              <w:right w:val="single" w:sz="8" w:space="0" w:color="FFFFFF"/>
            </w:tcBorders>
            <w:shd w:val="clear" w:color="auto" w:fill="5F9934"/>
            <w:tcMar>
              <w:top w:w="72" w:type="dxa"/>
              <w:left w:w="144" w:type="dxa"/>
              <w:bottom w:w="72" w:type="dxa"/>
              <w:right w:w="144" w:type="dxa"/>
            </w:tcMar>
            <w:vAlign w:val="center"/>
            <w:hideMark/>
          </w:tcPr>
          <w:p w14:paraId="3B3A47FA" w14:textId="77777777" w:rsidR="003D66F8" w:rsidRPr="003D66F8" w:rsidRDefault="003D66F8" w:rsidP="003D66F8">
            <w:pPr>
              <w:spacing w:after="0" w:line="240" w:lineRule="auto"/>
              <w:rPr>
                <w:rFonts w:eastAsia="Times New Roman" w:cs="Arial"/>
              </w:rPr>
            </w:pPr>
            <w:r w:rsidRPr="003D66F8">
              <w:rPr>
                <w:rFonts w:eastAsia="Times New Roman" w:cs="Arial"/>
                <w:bCs/>
                <w:color w:val="FFFFFF" w:themeColor="light1"/>
                <w:kern w:val="24"/>
              </w:rPr>
              <w:t>Properties</w:t>
            </w:r>
          </w:p>
        </w:tc>
        <w:tc>
          <w:tcPr>
            <w:tcW w:w="2880" w:type="dxa"/>
            <w:tcBorders>
              <w:top w:val="single" w:sz="8" w:space="0" w:color="FFFFFF"/>
              <w:left w:val="single" w:sz="8" w:space="0" w:color="FFFFFF"/>
              <w:bottom w:val="single" w:sz="24" w:space="0" w:color="FFFFFF"/>
              <w:right w:val="single" w:sz="8" w:space="0" w:color="FFFFFF"/>
            </w:tcBorders>
            <w:shd w:val="clear" w:color="auto" w:fill="5F9934"/>
            <w:tcMar>
              <w:top w:w="72" w:type="dxa"/>
              <w:left w:w="144" w:type="dxa"/>
              <w:bottom w:w="72" w:type="dxa"/>
              <w:right w:w="144" w:type="dxa"/>
            </w:tcMar>
            <w:vAlign w:val="center"/>
            <w:hideMark/>
          </w:tcPr>
          <w:p w14:paraId="45E81C69" w14:textId="77777777" w:rsidR="003D66F8" w:rsidRPr="003D66F8" w:rsidRDefault="003D66F8" w:rsidP="003D66F8">
            <w:pPr>
              <w:spacing w:after="0" w:line="240" w:lineRule="auto"/>
              <w:jc w:val="center"/>
              <w:rPr>
                <w:rFonts w:eastAsia="Times New Roman" w:cs="Arial"/>
              </w:rPr>
            </w:pPr>
            <w:r w:rsidRPr="003D66F8">
              <w:rPr>
                <w:rFonts w:eastAsia="Times New Roman" w:cs="Arial"/>
                <w:bCs/>
                <w:color w:val="FFFFFF" w:themeColor="light1"/>
                <w:kern w:val="24"/>
              </w:rPr>
              <w:t>Petrodiesel</w:t>
            </w:r>
            <w:r w:rsidRPr="003D66F8">
              <w:rPr>
                <w:rFonts w:eastAsia="Times New Roman" w:cs="Arial"/>
                <w:bCs/>
                <w:color w:val="FFFFFF" w:themeColor="light1"/>
                <w:kern w:val="24"/>
              </w:rPr>
              <w:br/>
              <w:t>#2 Diesel</w:t>
            </w:r>
          </w:p>
        </w:tc>
        <w:tc>
          <w:tcPr>
            <w:tcW w:w="3600" w:type="dxa"/>
            <w:tcBorders>
              <w:top w:val="single" w:sz="8" w:space="0" w:color="FFFFFF"/>
              <w:left w:val="single" w:sz="8" w:space="0" w:color="FFFFFF"/>
              <w:bottom w:val="single" w:sz="24" w:space="0" w:color="FFFFFF"/>
              <w:right w:val="single" w:sz="8" w:space="0" w:color="FFFFFF"/>
            </w:tcBorders>
            <w:shd w:val="clear" w:color="auto" w:fill="5F9934"/>
            <w:tcMar>
              <w:top w:w="72" w:type="dxa"/>
              <w:left w:w="144" w:type="dxa"/>
              <w:bottom w:w="72" w:type="dxa"/>
              <w:right w:w="144" w:type="dxa"/>
            </w:tcMar>
            <w:vAlign w:val="center"/>
            <w:hideMark/>
          </w:tcPr>
          <w:p w14:paraId="7496C9C6" w14:textId="77777777" w:rsidR="003D66F8" w:rsidRPr="003D66F8" w:rsidRDefault="003D66F8" w:rsidP="003D66F8">
            <w:pPr>
              <w:spacing w:after="0" w:line="240" w:lineRule="auto"/>
              <w:jc w:val="center"/>
              <w:rPr>
                <w:rFonts w:eastAsia="Times New Roman" w:cs="Arial"/>
              </w:rPr>
            </w:pPr>
            <w:r w:rsidRPr="003D66F8">
              <w:rPr>
                <w:rFonts w:eastAsia="Times New Roman" w:cs="Arial"/>
                <w:bCs/>
                <w:color w:val="FFFFFF" w:themeColor="light1"/>
                <w:kern w:val="24"/>
              </w:rPr>
              <w:t>Biodiesel (</w:t>
            </w:r>
            <w:r w:rsidRPr="003D66F8">
              <w:rPr>
                <w:rFonts w:eastAsia="Times New Roman" w:cs="Arial"/>
                <w:bCs/>
                <w:i/>
                <w:iCs/>
                <w:color w:val="FFFFFF" w:themeColor="light1"/>
                <w:kern w:val="24"/>
              </w:rPr>
              <w:t>Super™</w:t>
            </w:r>
            <w:r w:rsidRPr="003D66F8">
              <w:rPr>
                <w:rFonts w:eastAsia="Times New Roman" w:cs="Arial"/>
                <w:bCs/>
                <w:color w:val="FFFFFF" w:themeColor="light1"/>
                <w:kern w:val="24"/>
              </w:rPr>
              <w:t>)</w:t>
            </w:r>
          </w:p>
        </w:tc>
      </w:tr>
      <w:tr w:rsidR="003D66F8" w:rsidRPr="00DB0D0D" w14:paraId="48CE6A0D" w14:textId="77777777" w:rsidTr="0012245C">
        <w:trPr>
          <w:trHeight w:val="156"/>
        </w:trPr>
        <w:tc>
          <w:tcPr>
            <w:tcW w:w="2330" w:type="dxa"/>
            <w:tcBorders>
              <w:top w:val="single" w:sz="24"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hideMark/>
          </w:tcPr>
          <w:p w14:paraId="2108EC84" w14:textId="77777777" w:rsidR="003D66F8" w:rsidRPr="0012245C" w:rsidRDefault="003D66F8" w:rsidP="003D66F8">
            <w:pPr>
              <w:spacing w:after="0" w:line="240" w:lineRule="auto"/>
              <w:rPr>
                <w:rFonts w:eastAsia="Times New Roman" w:cs="Arial"/>
                <w:color w:val="262626" w:themeColor="text1" w:themeTint="D9"/>
                <w:sz w:val="20"/>
                <w:szCs w:val="20"/>
              </w:rPr>
            </w:pPr>
            <w:r w:rsidRPr="0012245C">
              <w:rPr>
                <w:rFonts w:eastAsia="Times New Roman" w:cs="Arial"/>
                <w:color w:val="262626" w:themeColor="text1" w:themeTint="D9"/>
                <w:kern w:val="24"/>
                <w:sz w:val="20"/>
                <w:szCs w:val="20"/>
              </w:rPr>
              <w:t>Cetane</w:t>
            </w:r>
          </w:p>
        </w:tc>
        <w:tc>
          <w:tcPr>
            <w:tcW w:w="2880" w:type="dxa"/>
            <w:tcBorders>
              <w:top w:val="single" w:sz="24"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vAlign w:val="center"/>
            <w:hideMark/>
          </w:tcPr>
          <w:p w14:paraId="6E663A59" w14:textId="77777777" w:rsidR="003D66F8" w:rsidRPr="00933E88" w:rsidRDefault="003D66F8" w:rsidP="003D66F8">
            <w:pPr>
              <w:spacing w:after="0" w:line="240" w:lineRule="auto"/>
              <w:jc w:val="center"/>
              <w:rPr>
                <w:rFonts w:eastAsia="Times New Roman" w:cs="Arial"/>
                <w:sz w:val="20"/>
                <w:szCs w:val="20"/>
              </w:rPr>
            </w:pPr>
            <w:r w:rsidRPr="00933E88">
              <w:rPr>
                <w:rFonts w:eastAsia="Times New Roman" w:cs="Arial"/>
                <w:color w:val="595959" w:themeColor="text1" w:themeTint="A6"/>
                <w:kern w:val="24"/>
                <w:sz w:val="20"/>
                <w:szCs w:val="20"/>
              </w:rPr>
              <w:t>40-50</w:t>
            </w:r>
          </w:p>
        </w:tc>
        <w:tc>
          <w:tcPr>
            <w:tcW w:w="3600" w:type="dxa"/>
            <w:tcBorders>
              <w:top w:val="single" w:sz="24"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vAlign w:val="center"/>
            <w:hideMark/>
          </w:tcPr>
          <w:p w14:paraId="62D96396" w14:textId="50C41800" w:rsidR="003D66F8" w:rsidRPr="00933E88" w:rsidRDefault="003D66F8" w:rsidP="003D66F8">
            <w:pPr>
              <w:spacing w:after="0" w:line="240" w:lineRule="auto"/>
              <w:jc w:val="center"/>
              <w:rPr>
                <w:rFonts w:eastAsia="Times New Roman" w:cs="Arial"/>
                <w:sz w:val="20"/>
                <w:szCs w:val="20"/>
              </w:rPr>
            </w:pPr>
            <w:r w:rsidRPr="00933E88">
              <w:rPr>
                <w:rFonts w:eastAsia="Times New Roman" w:cs="Arial"/>
                <w:color w:val="595959" w:themeColor="text1" w:themeTint="A6"/>
                <w:kern w:val="24"/>
                <w:sz w:val="20"/>
                <w:szCs w:val="20"/>
              </w:rPr>
              <w:t>47-</w:t>
            </w:r>
            <w:r w:rsidR="00FD1EDE">
              <w:rPr>
                <w:rFonts w:eastAsia="Times New Roman" w:cs="Arial"/>
                <w:color w:val="595959" w:themeColor="text1" w:themeTint="A6"/>
                <w:kern w:val="24"/>
                <w:sz w:val="20"/>
                <w:szCs w:val="20"/>
              </w:rPr>
              <w:t>5</w:t>
            </w:r>
            <w:r w:rsidRPr="00933E88">
              <w:rPr>
                <w:rFonts w:eastAsia="Times New Roman" w:cs="Arial"/>
                <w:color w:val="595959" w:themeColor="text1" w:themeTint="A6"/>
                <w:kern w:val="24"/>
                <w:sz w:val="20"/>
                <w:szCs w:val="20"/>
              </w:rPr>
              <w:t>5</w:t>
            </w:r>
          </w:p>
        </w:tc>
      </w:tr>
      <w:tr w:rsidR="003D66F8" w:rsidRPr="00DB0D0D" w14:paraId="3BC7EF62" w14:textId="77777777" w:rsidTr="0012245C">
        <w:trPr>
          <w:trHeight w:val="106"/>
        </w:trPr>
        <w:tc>
          <w:tcPr>
            <w:tcW w:w="233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hideMark/>
          </w:tcPr>
          <w:p w14:paraId="31C75887" w14:textId="77777777" w:rsidR="003D66F8" w:rsidRPr="0012245C" w:rsidRDefault="003D66F8" w:rsidP="003D66F8">
            <w:pPr>
              <w:spacing w:after="0" w:line="240" w:lineRule="auto"/>
              <w:rPr>
                <w:rFonts w:eastAsia="Times New Roman" w:cs="Arial"/>
                <w:color w:val="262626" w:themeColor="text1" w:themeTint="D9"/>
                <w:sz w:val="20"/>
                <w:szCs w:val="20"/>
              </w:rPr>
            </w:pPr>
            <w:r w:rsidRPr="0012245C">
              <w:rPr>
                <w:rFonts w:eastAsia="Times New Roman" w:cs="Arial"/>
                <w:color w:val="262626" w:themeColor="text1" w:themeTint="D9"/>
                <w:kern w:val="24"/>
                <w:sz w:val="20"/>
                <w:szCs w:val="20"/>
              </w:rPr>
              <w:t>Energy Density, MJ/kg</w:t>
            </w:r>
          </w:p>
        </w:tc>
        <w:tc>
          <w:tcPr>
            <w:tcW w:w="2880" w:type="dxa"/>
            <w:tcBorders>
              <w:top w:val="single" w:sz="8" w:space="0" w:color="FFFFFF"/>
              <w:left w:val="single" w:sz="8" w:space="0" w:color="FFFFFF"/>
              <w:bottom w:val="single" w:sz="8" w:space="0" w:color="FFFFFF"/>
              <w:right w:val="single" w:sz="8" w:space="0" w:color="FFFFFF"/>
            </w:tcBorders>
            <w:shd w:val="clear" w:color="auto" w:fill="E8F1FB"/>
            <w:tcMar>
              <w:top w:w="72" w:type="dxa"/>
              <w:left w:w="144" w:type="dxa"/>
              <w:bottom w:w="72" w:type="dxa"/>
              <w:right w:w="144" w:type="dxa"/>
            </w:tcMar>
            <w:vAlign w:val="center"/>
            <w:hideMark/>
          </w:tcPr>
          <w:p w14:paraId="479C0AC9" w14:textId="77777777" w:rsidR="003D66F8" w:rsidRPr="00933E88" w:rsidRDefault="003D66F8" w:rsidP="003D66F8">
            <w:pPr>
              <w:spacing w:after="0" w:line="240" w:lineRule="auto"/>
              <w:jc w:val="center"/>
              <w:rPr>
                <w:rFonts w:eastAsia="Times New Roman" w:cs="Arial"/>
                <w:sz w:val="20"/>
                <w:szCs w:val="20"/>
              </w:rPr>
            </w:pPr>
            <w:r w:rsidRPr="00933E88">
              <w:rPr>
                <w:rFonts w:eastAsia="Times New Roman" w:cs="Arial"/>
                <w:color w:val="595959" w:themeColor="text1" w:themeTint="A6"/>
                <w:kern w:val="24"/>
                <w:sz w:val="20"/>
                <w:szCs w:val="20"/>
              </w:rPr>
              <w:t>43</w:t>
            </w:r>
          </w:p>
        </w:tc>
        <w:tc>
          <w:tcPr>
            <w:tcW w:w="3600" w:type="dxa"/>
            <w:tcBorders>
              <w:top w:val="single" w:sz="8" w:space="0" w:color="FFFFFF"/>
              <w:left w:val="single" w:sz="8" w:space="0" w:color="FFFFFF"/>
              <w:bottom w:val="single" w:sz="8" w:space="0" w:color="FFFFFF"/>
              <w:right w:val="single" w:sz="8" w:space="0" w:color="FFFFFF"/>
            </w:tcBorders>
            <w:shd w:val="clear" w:color="auto" w:fill="E8F1FB"/>
            <w:tcMar>
              <w:top w:w="72" w:type="dxa"/>
              <w:left w:w="144" w:type="dxa"/>
              <w:bottom w:w="72" w:type="dxa"/>
              <w:right w:w="144" w:type="dxa"/>
            </w:tcMar>
            <w:vAlign w:val="center"/>
            <w:hideMark/>
          </w:tcPr>
          <w:p w14:paraId="48568F65" w14:textId="77777777" w:rsidR="003D66F8" w:rsidRPr="00933E88" w:rsidRDefault="003D66F8" w:rsidP="003D66F8">
            <w:pPr>
              <w:spacing w:after="0" w:line="240" w:lineRule="auto"/>
              <w:jc w:val="center"/>
              <w:rPr>
                <w:rFonts w:eastAsia="Times New Roman" w:cs="Arial"/>
                <w:sz w:val="20"/>
                <w:szCs w:val="20"/>
              </w:rPr>
            </w:pPr>
            <w:r w:rsidRPr="00933E88">
              <w:rPr>
                <w:rFonts w:eastAsia="Times New Roman" w:cs="Arial"/>
                <w:color w:val="595959" w:themeColor="text1" w:themeTint="A6"/>
                <w:kern w:val="24"/>
                <w:sz w:val="20"/>
                <w:szCs w:val="20"/>
              </w:rPr>
              <w:t>38</w:t>
            </w:r>
          </w:p>
        </w:tc>
      </w:tr>
      <w:tr w:rsidR="003D66F8" w:rsidRPr="00DB0D0D" w14:paraId="47ACF461" w14:textId="77777777" w:rsidTr="0012245C">
        <w:trPr>
          <w:trHeight w:val="223"/>
        </w:trPr>
        <w:tc>
          <w:tcPr>
            <w:tcW w:w="233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hideMark/>
          </w:tcPr>
          <w:p w14:paraId="00374657" w14:textId="77777777" w:rsidR="003D66F8" w:rsidRPr="0012245C" w:rsidRDefault="003D66F8" w:rsidP="003D66F8">
            <w:pPr>
              <w:spacing w:after="0" w:line="240" w:lineRule="auto"/>
              <w:rPr>
                <w:rFonts w:eastAsia="Times New Roman" w:cs="Arial"/>
                <w:color w:val="262626" w:themeColor="text1" w:themeTint="D9"/>
                <w:sz w:val="20"/>
                <w:szCs w:val="20"/>
              </w:rPr>
            </w:pPr>
            <w:r w:rsidRPr="0012245C">
              <w:rPr>
                <w:rFonts w:eastAsia="Times New Roman" w:cs="Arial"/>
                <w:color w:val="262626" w:themeColor="text1" w:themeTint="D9"/>
                <w:kern w:val="24"/>
                <w:sz w:val="20"/>
                <w:szCs w:val="20"/>
              </w:rPr>
              <w:t>Density, g/ml</w:t>
            </w:r>
          </w:p>
        </w:tc>
        <w:tc>
          <w:tcPr>
            <w:tcW w:w="288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vAlign w:val="center"/>
            <w:hideMark/>
          </w:tcPr>
          <w:p w14:paraId="639232DF" w14:textId="77777777" w:rsidR="003D66F8" w:rsidRPr="00933E88" w:rsidRDefault="003D66F8" w:rsidP="003D66F8">
            <w:pPr>
              <w:spacing w:after="0" w:line="240" w:lineRule="auto"/>
              <w:jc w:val="center"/>
              <w:rPr>
                <w:rFonts w:eastAsia="Times New Roman" w:cs="Arial"/>
                <w:sz w:val="20"/>
                <w:szCs w:val="20"/>
              </w:rPr>
            </w:pPr>
            <w:r w:rsidRPr="00933E88">
              <w:rPr>
                <w:rFonts w:eastAsia="Times New Roman" w:cs="Arial"/>
                <w:color w:val="595959" w:themeColor="text1" w:themeTint="A6"/>
                <w:kern w:val="24"/>
                <w:sz w:val="20"/>
                <w:szCs w:val="20"/>
              </w:rPr>
              <w:t>0.83-0.85</w:t>
            </w:r>
          </w:p>
        </w:tc>
        <w:tc>
          <w:tcPr>
            <w:tcW w:w="360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vAlign w:val="center"/>
            <w:hideMark/>
          </w:tcPr>
          <w:p w14:paraId="7AB688D9" w14:textId="77777777" w:rsidR="003D66F8" w:rsidRPr="00933E88" w:rsidRDefault="003D66F8" w:rsidP="003D66F8">
            <w:pPr>
              <w:spacing w:after="0" w:line="240" w:lineRule="auto"/>
              <w:jc w:val="center"/>
              <w:rPr>
                <w:rFonts w:eastAsia="Times New Roman" w:cs="Arial"/>
                <w:sz w:val="20"/>
                <w:szCs w:val="20"/>
              </w:rPr>
            </w:pPr>
            <w:r w:rsidRPr="00933E88">
              <w:rPr>
                <w:rFonts w:eastAsia="Times New Roman" w:cs="Arial"/>
                <w:color w:val="595959" w:themeColor="text1" w:themeTint="A6"/>
                <w:kern w:val="24"/>
                <w:sz w:val="20"/>
                <w:szCs w:val="20"/>
              </w:rPr>
              <w:t>0.88</w:t>
            </w:r>
          </w:p>
        </w:tc>
      </w:tr>
      <w:tr w:rsidR="003D66F8" w:rsidRPr="00DB0D0D" w14:paraId="425F3469" w14:textId="77777777" w:rsidTr="0012245C">
        <w:trPr>
          <w:trHeight w:val="268"/>
        </w:trPr>
        <w:tc>
          <w:tcPr>
            <w:tcW w:w="233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hideMark/>
          </w:tcPr>
          <w:p w14:paraId="5127F757" w14:textId="77777777" w:rsidR="003D66F8" w:rsidRPr="0012245C" w:rsidRDefault="003D66F8" w:rsidP="003D66F8">
            <w:pPr>
              <w:spacing w:after="0" w:line="240" w:lineRule="auto"/>
              <w:rPr>
                <w:rFonts w:eastAsia="Times New Roman" w:cs="Arial"/>
                <w:color w:val="262626" w:themeColor="text1" w:themeTint="D9"/>
                <w:sz w:val="20"/>
                <w:szCs w:val="20"/>
              </w:rPr>
            </w:pPr>
            <w:r w:rsidRPr="0012245C">
              <w:rPr>
                <w:rFonts w:eastAsia="Times New Roman" w:cs="Arial"/>
                <w:color w:val="262626" w:themeColor="text1" w:themeTint="D9"/>
                <w:kern w:val="24"/>
                <w:sz w:val="20"/>
                <w:szCs w:val="20"/>
              </w:rPr>
              <w:t>Energy Content, BTU/gal</w:t>
            </w:r>
          </w:p>
        </w:tc>
        <w:tc>
          <w:tcPr>
            <w:tcW w:w="2880" w:type="dxa"/>
            <w:tcBorders>
              <w:top w:val="single" w:sz="8" w:space="0" w:color="FFFFFF"/>
              <w:left w:val="single" w:sz="8" w:space="0" w:color="FFFFFF"/>
              <w:bottom w:val="single" w:sz="8" w:space="0" w:color="FFFFFF"/>
              <w:right w:val="single" w:sz="8" w:space="0" w:color="FFFFFF"/>
            </w:tcBorders>
            <w:shd w:val="clear" w:color="auto" w:fill="E8F1FB"/>
            <w:tcMar>
              <w:top w:w="72" w:type="dxa"/>
              <w:left w:w="144" w:type="dxa"/>
              <w:bottom w:w="72" w:type="dxa"/>
              <w:right w:w="144" w:type="dxa"/>
            </w:tcMar>
            <w:vAlign w:val="center"/>
            <w:hideMark/>
          </w:tcPr>
          <w:p w14:paraId="0548B71A" w14:textId="77777777" w:rsidR="003D66F8" w:rsidRPr="00933E88" w:rsidRDefault="003D66F8" w:rsidP="003D66F8">
            <w:pPr>
              <w:spacing w:after="0" w:line="240" w:lineRule="auto"/>
              <w:jc w:val="center"/>
              <w:rPr>
                <w:rFonts w:eastAsia="Times New Roman" w:cs="Arial"/>
                <w:sz w:val="20"/>
                <w:szCs w:val="20"/>
              </w:rPr>
            </w:pPr>
            <w:r w:rsidRPr="00933E88">
              <w:rPr>
                <w:rFonts w:eastAsia="Times New Roman" w:cs="Arial"/>
                <w:color w:val="595959" w:themeColor="text1" w:themeTint="A6"/>
                <w:kern w:val="24"/>
                <w:sz w:val="20"/>
                <w:szCs w:val="20"/>
              </w:rPr>
              <w:t>129k</w:t>
            </w:r>
          </w:p>
        </w:tc>
        <w:tc>
          <w:tcPr>
            <w:tcW w:w="3600" w:type="dxa"/>
            <w:tcBorders>
              <w:top w:val="single" w:sz="8" w:space="0" w:color="FFFFFF"/>
              <w:left w:val="single" w:sz="8" w:space="0" w:color="FFFFFF"/>
              <w:bottom w:val="single" w:sz="8" w:space="0" w:color="FFFFFF"/>
              <w:right w:val="single" w:sz="8" w:space="0" w:color="FFFFFF"/>
            </w:tcBorders>
            <w:shd w:val="clear" w:color="auto" w:fill="E8F1FB"/>
            <w:tcMar>
              <w:top w:w="72" w:type="dxa"/>
              <w:left w:w="144" w:type="dxa"/>
              <w:bottom w:w="72" w:type="dxa"/>
              <w:right w:w="144" w:type="dxa"/>
            </w:tcMar>
            <w:vAlign w:val="center"/>
            <w:hideMark/>
          </w:tcPr>
          <w:p w14:paraId="51A50289" w14:textId="77777777" w:rsidR="003D66F8" w:rsidRPr="00933E88" w:rsidRDefault="003D66F8" w:rsidP="003D66F8">
            <w:pPr>
              <w:spacing w:after="0" w:line="240" w:lineRule="auto"/>
              <w:jc w:val="center"/>
              <w:rPr>
                <w:rFonts w:eastAsia="Times New Roman" w:cs="Arial"/>
                <w:sz w:val="20"/>
                <w:szCs w:val="20"/>
              </w:rPr>
            </w:pPr>
            <w:r w:rsidRPr="00933E88">
              <w:rPr>
                <w:rFonts w:eastAsia="Times New Roman" w:cs="Arial"/>
                <w:color w:val="595959" w:themeColor="text1" w:themeTint="A6"/>
                <w:kern w:val="24"/>
                <w:sz w:val="20"/>
                <w:szCs w:val="20"/>
              </w:rPr>
              <w:t>118k</w:t>
            </w:r>
          </w:p>
        </w:tc>
      </w:tr>
      <w:tr w:rsidR="003D66F8" w:rsidRPr="00DB0D0D" w14:paraId="078C1433" w14:textId="77777777" w:rsidTr="0012245C">
        <w:trPr>
          <w:trHeight w:val="106"/>
        </w:trPr>
        <w:tc>
          <w:tcPr>
            <w:tcW w:w="233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hideMark/>
          </w:tcPr>
          <w:p w14:paraId="596A7689" w14:textId="77777777" w:rsidR="003D66F8" w:rsidRPr="0012245C" w:rsidRDefault="003D66F8" w:rsidP="003D66F8">
            <w:pPr>
              <w:spacing w:after="0" w:line="240" w:lineRule="auto"/>
              <w:rPr>
                <w:rFonts w:eastAsia="Times New Roman" w:cs="Arial"/>
                <w:color w:val="262626" w:themeColor="text1" w:themeTint="D9"/>
                <w:sz w:val="20"/>
                <w:szCs w:val="20"/>
              </w:rPr>
            </w:pPr>
            <w:r w:rsidRPr="0012245C">
              <w:rPr>
                <w:rFonts w:eastAsia="Times New Roman" w:cs="Arial"/>
                <w:color w:val="262626" w:themeColor="text1" w:themeTint="D9"/>
                <w:kern w:val="24"/>
                <w:sz w:val="20"/>
                <w:szCs w:val="20"/>
              </w:rPr>
              <w:t>Sulfur</w:t>
            </w:r>
          </w:p>
        </w:tc>
        <w:tc>
          <w:tcPr>
            <w:tcW w:w="288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vAlign w:val="center"/>
            <w:hideMark/>
          </w:tcPr>
          <w:p w14:paraId="6452502A" w14:textId="77777777" w:rsidR="003D66F8" w:rsidRPr="00933E88" w:rsidRDefault="003D66F8" w:rsidP="003D66F8">
            <w:pPr>
              <w:spacing w:after="0" w:line="240" w:lineRule="auto"/>
              <w:jc w:val="center"/>
              <w:rPr>
                <w:rFonts w:eastAsia="Times New Roman" w:cs="Arial"/>
                <w:sz w:val="20"/>
                <w:szCs w:val="20"/>
              </w:rPr>
            </w:pPr>
            <w:r w:rsidRPr="00933E88">
              <w:rPr>
                <w:rFonts w:eastAsia="Times New Roman" w:cs="Arial"/>
                <w:color w:val="595959" w:themeColor="text1" w:themeTint="A6"/>
                <w:kern w:val="24"/>
                <w:sz w:val="20"/>
                <w:szCs w:val="20"/>
              </w:rPr>
              <w:t>&lt;10 ppm</w:t>
            </w:r>
          </w:p>
        </w:tc>
        <w:tc>
          <w:tcPr>
            <w:tcW w:w="360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vAlign w:val="center"/>
            <w:hideMark/>
          </w:tcPr>
          <w:p w14:paraId="44DA58C3" w14:textId="77777777" w:rsidR="003D66F8" w:rsidRPr="00933E88" w:rsidRDefault="003D66F8" w:rsidP="003D66F8">
            <w:pPr>
              <w:spacing w:after="0" w:line="240" w:lineRule="auto"/>
              <w:jc w:val="center"/>
              <w:rPr>
                <w:rFonts w:eastAsia="Times New Roman" w:cs="Arial"/>
                <w:sz w:val="20"/>
                <w:szCs w:val="20"/>
              </w:rPr>
            </w:pPr>
            <w:r w:rsidRPr="00933E88">
              <w:rPr>
                <w:rFonts w:eastAsia="Times New Roman" w:cs="Arial"/>
                <w:color w:val="595959" w:themeColor="text1" w:themeTint="A6"/>
                <w:kern w:val="24"/>
                <w:sz w:val="20"/>
                <w:szCs w:val="20"/>
              </w:rPr>
              <w:t>&lt;5 ppm</w:t>
            </w:r>
          </w:p>
        </w:tc>
      </w:tr>
      <w:tr w:rsidR="003D66F8" w:rsidRPr="00DB0D0D" w14:paraId="687FE09D" w14:textId="77777777" w:rsidTr="0012245C">
        <w:trPr>
          <w:trHeight w:val="268"/>
        </w:trPr>
        <w:tc>
          <w:tcPr>
            <w:tcW w:w="233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hideMark/>
          </w:tcPr>
          <w:p w14:paraId="23EF9676" w14:textId="77777777" w:rsidR="003D66F8" w:rsidRPr="0012245C" w:rsidRDefault="003D66F8" w:rsidP="003D66F8">
            <w:pPr>
              <w:spacing w:after="0" w:line="240" w:lineRule="auto"/>
              <w:rPr>
                <w:rFonts w:eastAsia="Times New Roman" w:cs="Arial"/>
                <w:color w:val="262626" w:themeColor="text1" w:themeTint="D9"/>
                <w:sz w:val="20"/>
                <w:szCs w:val="20"/>
              </w:rPr>
            </w:pPr>
            <w:r w:rsidRPr="0012245C">
              <w:rPr>
                <w:rFonts w:eastAsia="Times New Roman" w:cs="Arial"/>
                <w:color w:val="262626" w:themeColor="text1" w:themeTint="D9"/>
                <w:kern w:val="24"/>
                <w:sz w:val="20"/>
                <w:szCs w:val="20"/>
              </w:rPr>
              <w:t xml:space="preserve">NOx Emission </w:t>
            </w:r>
          </w:p>
        </w:tc>
        <w:tc>
          <w:tcPr>
            <w:tcW w:w="2880" w:type="dxa"/>
            <w:tcBorders>
              <w:top w:val="single" w:sz="8" w:space="0" w:color="FFFFFF"/>
              <w:left w:val="single" w:sz="8" w:space="0" w:color="FFFFFF"/>
              <w:bottom w:val="single" w:sz="8" w:space="0" w:color="FFFFFF"/>
              <w:right w:val="single" w:sz="8" w:space="0" w:color="FFFFFF"/>
            </w:tcBorders>
            <w:shd w:val="clear" w:color="auto" w:fill="E8F1FB"/>
            <w:tcMar>
              <w:top w:w="72" w:type="dxa"/>
              <w:left w:w="144" w:type="dxa"/>
              <w:bottom w:w="72" w:type="dxa"/>
              <w:right w:w="144" w:type="dxa"/>
            </w:tcMar>
            <w:vAlign w:val="center"/>
            <w:hideMark/>
          </w:tcPr>
          <w:p w14:paraId="396BED9B" w14:textId="77777777" w:rsidR="003D66F8" w:rsidRPr="00933E88" w:rsidRDefault="003D66F8" w:rsidP="003D66F8">
            <w:pPr>
              <w:spacing w:after="0" w:line="240" w:lineRule="auto"/>
              <w:jc w:val="center"/>
              <w:rPr>
                <w:rFonts w:eastAsia="Times New Roman" w:cs="Arial"/>
                <w:sz w:val="20"/>
                <w:szCs w:val="20"/>
              </w:rPr>
            </w:pPr>
            <w:r w:rsidRPr="00933E88">
              <w:rPr>
                <w:rFonts w:eastAsia="Times New Roman" w:cs="Arial"/>
                <w:color w:val="595959" w:themeColor="text1" w:themeTint="A6"/>
                <w:kern w:val="24"/>
                <w:sz w:val="20"/>
                <w:szCs w:val="20"/>
              </w:rPr>
              <w:t>Baseline</w:t>
            </w:r>
          </w:p>
        </w:tc>
        <w:tc>
          <w:tcPr>
            <w:tcW w:w="3600" w:type="dxa"/>
            <w:tcBorders>
              <w:top w:val="single" w:sz="8" w:space="0" w:color="FFFFFF"/>
              <w:left w:val="single" w:sz="8" w:space="0" w:color="FFFFFF"/>
              <w:bottom w:val="single" w:sz="8" w:space="0" w:color="FFFFFF"/>
              <w:right w:val="single" w:sz="8" w:space="0" w:color="FFFFFF"/>
            </w:tcBorders>
            <w:shd w:val="clear" w:color="auto" w:fill="E8F1FB"/>
            <w:tcMar>
              <w:top w:w="72" w:type="dxa"/>
              <w:left w:w="144" w:type="dxa"/>
              <w:bottom w:w="72" w:type="dxa"/>
              <w:right w:w="144" w:type="dxa"/>
            </w:tcMar>
            <w:vAlign w:val="center"/>
            <w:hideMark/>
          </w:tcPr>
          <w:p w14:paraId="7C872ABF" w14:textId="77777777" w:rsidR="003D66F8" w:rsidRPr="00933E88" w:rsidRDefault="003D66F8" w:rsidP="003D66F8">
            <w:pPr>
              <w:spacing w:after="0" w:line="240" w:lineRule="auto"/>
              <w:jc w:val="center"/>
              <w:rPr>
                <w:rFonts w:eastAsia="Times New Roman" w:cs="Arial"/>
                <w:sz w:val="20"/>
                <w:szCs w:val="20"/>
              </w:rPr>
            </w:pPr>
            <w:r w:rsidRPr="00933E88">
              <w:rPr>
                <w:rFonts w:eastAsia="Times New Roman" w:cs="Arial"/>
                <w:color w:val="595959" w:themeColor="text1" w:themeTint="A6"/>
                <w:kern w:val="24"/>
                <w:sz w:val="20"/>
                <w:szCs w:val="20"/>
              </w:rPr>
              <w:t>+10</w:t>
            </w:r>
          </w:p>
        </w:tc>
      </w:tr>
      <w:tr w:rsidR="003D66F8" w:rsidRPr="00DB0D0D" w14:paraId="3B4CECA9" w14:textId="77777777" w:rsidTr="0012245C">
        <w:trPr>
          <w:trHeight w:val="268"/>
        </w:trPr>
        <w:tc>
          <w:tcPr>
            <w:tcW w:w="233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hideMark/>
          </w:tcPr>
          <w:p w14:paraId="0CD8D15D" w14:textId="77777777" w:rsidR="003D66F8" w:rsidRPr="0012245C" w:rsidRDefault="003D66F8" w:rsidP="003D66F8">
            <w:pPr>
              <w:spacing w:after="0" w:line="240" w:lineRule="auto"/>
              <w:rPr>
                <w:rFonts w:eastAsia="Times New Roman" w:cs="Arial"/>
                <w:color w:val="262626" w:themeColor="text1" w:themeTint="D9"/>
                <w:sz w:val="20"/>
                <w:szCs w:val="20"/>
              </w:rPr>
            </w:pPr>
            <w:r w:rsidRPr="0012245C">
              <w:rPr>
                <w:rFonts w:eastAsia="Times New Roman" w:cs="Arial"/>
                <w:color w:val="262626" w:themeColor="text1" w:themeTint="D9"/>
                <w:kern w:val="24"/>
                <w:sz w:val="20"/>
                <w:szCs w:val="20"/>
              </w:rPr>
              <w:t>Cloud Point, °C</w:t>
            </w:r>
          </w:p>
        </w:tc>
        <w:tc>
          <w:tcPr>
            <w:tcW w:w="288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vAlign w:val="center"/>
            <w:hideMark/>
          </w:tcPr>
          <w:p w14:paraId="74E48698" w14:textId="77777777" w:rsidR="003D66F8" w:rsidRPr="00933E88" w:rsidRDefault="003D66F8" w:rsidP="003D66F8">
            <w:pPr>
              <w:spacing w:after="0" w:line="240" w:lineRule="auto"/>
              <w:jc w:val="center"/>
              <w:rPr>
                <w:rFonts w:eastAsia="Times New Roman" w:cs="Arial"/>
                <w:sz w:val="20"/>
                <w:szCs w:val="20"/>
              </w:rPr>
            </w:pPr>
            <w:r w:rsidRPr="00933E88">
              <w:rPr>
                <w:rFonts w:eastAsia="Times New Roman" w:cs="Arial"/>
                <w:color w:val="595959" w:themeColor="text1" w:themeTint="A6"/>
                <w:kern w:val="24"/>
                <w:sz w:val="20"/>
                <w:szCs w:val="20"/>
              </w:rPr>
              <w:t>-5</w:t>
            </w:r>
          </w:p>
        </w:tc>
        <w:tc>
          <w:tcPr>
            <w:tcW w:w="360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vAlign w:val="center"/>
            <w:hideMark/>
          </w:tcPr>
          <w:p w14:paraId="7E0C5CB1" w14:textId="77777777" w:rsidR="003D66F8" w:rsidRPr="00933E88" w:rsidRDefault="003D66F8" w:rsidP="003D66F8">
            <w:pPr>
              <w:spacing w:after="0" w:line="240" w:lineRule="auto"/>
              <w:jc w:val="center"/>
              <w:rPr>
                <w:rFonts w:eastAsia="Times New Roman" w:cs="Arial"/>
                <w:sz w:val="20"/>
                <w:szCs w:val="20"/>
              </w:rPr>
            </w:pPr>
            <w:r w:rsidRPr="00933E88">
              <w:rPr>
                <w:rFonts w:eastAsia="Times New Roman" w:cs="Arial"/>
                <w:color w:val="595959" w:themeColor="text1" w:themeTint="A6"/>
                <w:kern w:val="24"/>
                <w:sz w:val="20"/>
                <w:szCs w:val="20"/>
              </w:rPr>
              <w:t>-2 to +5</w:t>
            </w:r>
          </w:p>
        </w:tc>
      </w:tr>
      <w:tr w:rsidR="003D66F8" w:rsidRPr="00DB0D0D" w14:paraId="26A2E270" w14:textId="77777777" w:rsidTr="0012245C">
        <w:trPr>
          <w:trHeight w:val="178"/>
        </w:trPr>
        <w:tc>
          <w:tcPr>
            <w:tcW w:w="233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hideMark/>
          </w:tcPr>
          <w:p w14:paraId="111FDAB3" w14:textId="77777777" w:rsidR="003D66F8" w:rsidRPr="0012245C" w:rsidRDefault="003D66F8" w:rsidP="003D66F8">
            <w:pPr>
              <w:spacing w:after="0" w:line="240" w:lineRule="auto"/>
              <w:rPr>
                <w:rFonts w:eastAsia="Times New Roman" w:cs="Arial"/>
                <w:color w:val="262626" w:themeColor="text1" w:themeTint="D9"/>
                <w:sz w:val="20"/>
                <w:szCs w:val="20"/>
              </w:rPr>
            </w:pPr>
            <w:r w:rsidRPr="0012245C">
              <w:rPr>
                <w:rFonts w:eastAsia="Times New Roman" w:cs="Arial"/>
                <w:color w:val="262626" w:themeColor="text1" w:themeTint="D9"/>
                <w:kern w:val="24"/>
                <w:sz w:val="20"/>
                <w:szCs w:val="20"/>
              </w:rPr>
              <w:t>Oxidative Stability</w:t>
            </w:r>
          </w:p>
        </w:tc>
        <w:tc>
          <w:tcPr>
            <w:tcW w:w="288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vAlign w:val="center"/>
            <w:hideMark/>
          </w:tcPr>
          <w:p w14:paraId="0E15CD90" w14:textId="77777777" w:rsidR="003D66F8" w:rsidRPr="00933E88" w:rsidRDefault="003D66F8" w:rsidP="003D66F8">
            <w:pPr>
              <w:spacing w:after="0" w:line="240" w:lineRule="auto"/>
              <w:jc w:val="center"/>
              <w:rPr>
                <w:rFonts w:eastAsia="Times New Roman" w:cs="Arial"/>
                <w:sz w:val="20"/>
                <w:szCs w:val="20"/>
              </w:rPr>
            </w:pPr>
            <w:r w:rsidRPr="00933E88">
              <w:rPr>
                <w:rFonts w:eastAsia="Times New Roman" w:cs="Arial"/>
                <w:color w:val="595959" w:themeColor="text1" w:themeTint="A6"/>
                <w:kern w:val="24"/>
                <w:sz w:val="20"/>
                <w:szCs w:val="20"/>
              </w:rPr>
              <w:t>Baseline</w:t>
            </w:r>
          </w:p>
        </w:tc>
        <w:tc>
          <w:tcPr>
            <w:tcW w:w="360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vAlign w:val="center"/>
            <w:hideMark/>
          </w:tcPr>
          <w:p w14:paraId="757BBA31" w14:textId="77777777" w:rsidR="003D66F8" w:rsidRPr="00933E88" w:rsidRDefault="003D66F8" w:rsidP="003D66F8">
            <w:pPr>
              <w:spacing w:after="0" w:line="240" w:lineRule="auto"/>
              <w:jc w:val="center"/>
              <w:rPr>
                <w:rFonts w:eastAsia="Times New Roman" w:cs="Arial"/>
                <w:sz w:val="20"/>
                <w:szCs w:val="20"/>
              </w:rPr>
            </w:pPr>
            <w:r w:rsidRPr="00933E88">
              <w:rPr>
                <w:rFonts w:eastAsia="Times New Roman" w:cs="Arial"/>
                <w:color w:val="595959" w:themeColor="text1" w:themeTint="A6"/>
                <w:kern w:val="24"/>
                <w:sz w:val="20"/>
                <w:szCs w:val="20"/>
              </w:rPr>
              <w:t>Fair</w:t>
            </w:r>
          </w:p>
        </w:tc>
      </w:tr>
      <w:tr w:rsidR="003D66F8" w:rsidRPr="00DB0D0D" w14:paraId="793F68A6" w14:textId="77777777" w:rsidTr="0012245C">
        <w:trPr>
          <w:trHeight w:val="286"/>
        </w:trPr>
        <w:tc>
          <w:tcPr>
            <w:tcW w:w="233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hideMark/>
          </w:tcPr>
          <w:p w14:paraId="51D5A73F" w14:textId="77777777" w:rsidR="003D66F8" w:rsidRPr="0012245C" w:rsidRDefault="003D66F8" w:rsidP="003D66F8">
            <w:pPr>
              <w:spacing w:after="0" w:line="240" w:lineRule="auto"/>
              <w:rPr>
                <w:rFonts w:eastAsia="Times New Roman" w:cs="Arial"/>
                <w:color w:val="262626" w:themeColor="text1" w:themeTint="D9"/>
                <w:sz w:val="20"/>
                <w:szCs w:val="20"/>
              </w:rPr>
            </w:pPr>
            <w:r w:rsidRPr="0012245C">
              <w:rPr>
                <w:rFonts w:eastAsia="Times New Roman" w:cs="Arial"/>
                <w:color w:val="262626" w:themeColor="text1" w:themeTint="D9"/>
                <w:kern w:val="24"/>
                <w:sz w:val="20"/>
                <w:szCs w:val="20"/>
              </w:rPr>
              <w:t>Cold Flow Properties</w:t>
            </w:r>
          </w:p>
        </w:tc>
        <w:tc>
          <w:tcPr>
            <w:tcW w:w="2880" w:type="dxa"/>
            <w:tcBorders>
              <w:top w:val="single" w:sz="8" w:space="0" w:color="FFFFFF"/>
              <w:left w:val="single" w:sz="8" w:space="0" w:color="FFFFFF"/>
              <w:bottom w:val="single" w:sz="8" w:space="0" w:color="FFFFFF"/>
              <w:right w:val="single" w:sz="8" w:space="0" w:color="FFFFFF"/>
            </w:tcBorders>
            <w:shd w:val="clear" w:color="auto" w:fill="CDE3F8"/>
            <w:tcMar>
              <w:top w:w="72" w:type="dxa"/>
              <w:left w:w="144" w:type="dxa"/>
              <w:bottom w:w="72" w:type="dxa"/>
              <w:right w:w="144" w:type="dxa"/>
            </w:tcMar>
            <w:vAlign w:val="center"/>
            <w:hideMark/>
          </w:tcPr>
          <w:p w14:paraId="0C7DFD72" w14:textId="77777777" w:rsidR="003D66F8" w:rsidRPr="00933E88" w:rsidRDefault="003D66F8" w:rsidP="003D66F8">
            <w:pPr>
              <w:spacing w:after="0" w:line="240" w:lineRule="auto"/>
              <w:jc w:val="center"/>
              <w:rPr>
                <w:rFonts w:eastAsia="Times New Roman" w:cs="Arial"/>
                <w:sz w:val="20"/>
                <w:szCs w:val="20"/>
              </w:rPr>
            </w:pPr>
            <w:r w:rsidRPr="00933E88">
              <w:rPr>
                <w:rFonts w:eastAsiaTheme="minorEastAsia"/>
                <w:color w:val="595959" w:themeColor="text1" w:themeTint="A6"/>
                <w:kern w:val="24"/>
                <w:sz w:val="20"/>
                <w:szCs w:val="20"/>
              </w:rPr>
              <w:t>Baseline</w:t>
            </w:r>
          </w:p>
        </w:tc>
        <w:tc>
          <w:tcPr>
            <w:tcW w:w="3600" w:type="dxa"/>
            <w:tcBorders>
              <w:top w:val="single" w:sz="8" w:space="0" w:color="FFFFFF"/>
              <w:left w:val="single" w:sz="8" w:space="0" w:color="FFFFFF"/>
              <w:bottom w:val="single" w:sz="8" w:space="0" w:color="FFFFFF"/>
              <w:right w:val="single" w:sz="8" w:space="0" w:color="FFFFFF"/>
            </w:tcBorders>
            <w:shd w:val="clear" w:color="auto" w:fill="CDE3F8"/>
            <w:tcMar>
              <w:top w:w="72" w:type="dxa"/>
              <w:left w:w="144" w:type="dxa"/>
              <w:bottom w:w="72" w:type="dxa"/>
              <w:right w:w="144" w:type="dxa"/>
            </w:tcMar>
            <w:vAlign w:val="center"/>
            <w:hideMark/>
          </w:tcPr>
          <w:p w14:paraId="5870C4EC" w14:textId="77777777" w:rsidR="003D66F8" w:rsidRPr="00933E88" w:rsidRDefault="0012245C" w:rsidP="003D66F8">
            <w:pPr>
              <w:spacing w:after="0" w:line="240" w:lineRule="auto"/>
              <w:jc w:val="center"/>
              <w:rPr>
                <w:rFonts w:eastAsia="Times New Roman" w:cs="Arial"/>
                <w:sz w:val="20"/>
                <w:szCs w:val="20"/>
              </w:rPr>
            </w:pPr>
            <w:r>
              <w:rPr>
                <w:rFonts w:eastAsia="Times New Roman" w:cs="Arial"/>
                <w:color w:val="595959" w:themeColor="text1" w:themeTint="A6"/>
                <w:kern w:val="24"/>
                <w:sz w:val="20"/>
                <w:szCs w:val="20"/>
              </w:rPr>
              <w:t>Good</w:t>
            </w:r>
          </w:p>
        </w:tc>
      </w:tr>
      <w:tr w:rsidR="003D66F8" w:rsidRPr="00DB0D0D" w14:paraId="1108E136" w14:textId="77777777" w:rsidTr="0012245C">
        <w:trPr>
          <w:trHeight w:val="223"/>
        </w:trPr>
        <w:tc>
          <w:tcPr>
            <w:tcW w:w="233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hideMark/>
          </w:tcPr>
          <w:p w14:paraId="109E9D1F" w14:textId="77777777" w:rsidR="003D66F8" w:rsidRPr="0012245C" w:rsidRDefault="003D66F8" w:rsidP="003D66F8">
            <w:pPr>
              <w:spacing w:after="0" w:line="240" w:lineRule="auto"/>
              <w:rPr>
                <w:rFonts w:eastAsia="Times New Roman" w:cs="Arial"/>
                <w:color w:val="262626" w:themeColor="text1" w:themeTint="D9"/>
                <w:sz w:val="20"/>
                <w:szCs w:val="20"/>
              </w:rPr>
            </w:pPr>
            <w:r w:rsidRPr="0012245C">
              <w:rPr>
                <w:rFonts w:eastAsia="Times New Roman" w:cs="Arial"/>
                <w:color w:val="262626" w:themeColor="text1" w:themeTint="D9"/>
                <w:kern w:val="24"/>
                <w:sz w:val="20"/>
                <w:szCs w:val="20"/>
              </w:rPr>
              <w:t>Lubricity</w:t>
            </w:r>
          </w:p>
        </w:tc>
        <w:tc>
          <w:tcPr>
            <w:tcW w:w="2880" w:type="dxa"/>
            <w:tcBorders>
              <w:top w:val="single" w:sz="8" w:space="0" w:color="FFFFFF"/>
              <w:left w:val="single" w:sz="8" w:space="0" w:color="FFFFFF"/>
              <w:bottom w:val="single" w:sz="8" w:space="0" w:color="FFFFFF"/>
              <w:right w:val="single" w:sz="8" w:space="0" w:color="FFFFFF"/>
            </w:tcBorders>
            <w:shd w:val="clear" w:color="auto" w:fill="E8F1FB"/>
            <w:tcMar>
              <w:top w:w="72" w:type="dxa"/>
              <w:left w:w="144" w:type="dxa"/>
              <w:bottom w:w="72" w:type="dxa"/>
              <w:right w:w="144" w:type="dxa"/>
            </w:tcMar>
            <w:vAlign w:val="center"/>
            <w:hideMark/>
          </w:tcPr>
          <w:p w14:paraId="2FFE68A2" w14:textId="77777777" w:rsidR="003D66F8" w:rsidRPr="00933E88" w:rsidRDefault="003D66F8" w:rsidP="003D66F8">
            <w:pPr>
              <w:spacing w:after="0" w:line="240" w:lineRule="auto"/>
              <w:jc w:val="center"/>
              <w:rPr>
                <w:rFonts w:eastAsia="Times New Roman" w:cs="Arial"/>
                <w:sz w:val="20"/>
                <w:szCs w:val="20"/>
              </w:rPr>
            </w:pPr>
            <w:r w:rsidRPr="00933E88">
              <w:rPr>
                <w:rFonts w:eastAsiaTheme="minorEastAsia"/>
                <w:color w:val="595959" w:themeColor="text1" w:themeTint="A6"/>
                <w:kern w:val="24"/>
                <w:sz w:val="20"/>
                <w:szCs w:val="20"/>
              </w:rPr>
              <w:t>Baseline</w:t>
            </w:r>
          </w:p>
        </w:tc>
        <w:tc>
          <w:tcPr>
            <w:tcW w:w="3600" w:type="dxa"/>
            <w:tcBorders>
              <w:top w:val="single" w:sz="8" w:space="0" w:color="FFFFFF"/>
              <w:left w:val="single" w:sz="8" w:space="0" w:color="FFFFFF"/>
              <w:bottom w:val="single" w:sz="8" w:space="0" w:color="FFFFFF"/>
              <w:right w:val="single" w:sz="8" w:space="0" w:color="FFFFFF"/>
            </w:tcBorders>
            <w:shd w:val="clear" w:color="auto" w:fill="E8F1FB"/>
            <w:tcMar>
              <w:top w:w="72" w:type="dxa"/>
              <w:left w:w="144" w:type="dxa"/>
              <w:bottom w:w="72" w:type="dxa"/>
              <w:right w:w="144" w:type="dxa"/>
            </w:tcMar>
            <w:vAlign w:val="center"/>
            <w:hideMark/>
          </w:tcPr>
          <w:p w14:paraId="4E00D56F" w14:textId="77777777" w:rsidR="003D66F8" w:rsidRPr="00933E88" w:rsidRDefault="003D66F8" w:rsidP="003D66F8">
            <w:pPr>
              <w:spacing w:after="0" w:line="240" w:lineRule="auto"/>
              <w:jc w:val="center"/>
              <w:rPr>
                <w:rFonts w:eastAsia="Times New Roman" w:cs="Arial"/>
                <w:sz w:val="20"/>
                <w:szCs w:val="20"/>
              </w:rPr>
            </w:pPr>
            <w:r w:rsidRPr="00933E88">
              <w:rPr>
                <w:rFonts w:eastAsia="Times New Roman" w:cs="Arial"/>
                <w:color w:val="595959" w:themeColor="text1" w:themeTint="A6"/>
                <w:kern w:val="24"/>
                <w:sz w:val="20"/>
                <w:szCs w:val="20"/>
              </w:rPr>
              <w:t>Excellent</w:t>
            </w:r>
          </w:p>
        </w:tc>
      </w:tr>
      <w:tr w:rsidR="003D66F8" w:rsidRPr="00DB0D0D" w14:paraId="29BA31EA" w14:textId="77777777" w:rsidTr="0012245C">
        <w:trPr>
          <w:trHeight w:val="268"/>
        </w:trPr>
        <w:tc>
          <w:tcPr>
            <w:tcW w:w="233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vAlign w:val="center"/>
            <w:hideMark/>
          </w:tcPr>
          <w:p w14:paraId="1CB49EF3" w14:textId="77777777" w:rsidR="003D66F8" w:rsidRPr="0012245C" w:rsidRDefault="003D66F8" w:rsidP="003D66F8">
            <w:pPr>
              <w:spacing w:after="0" w:line="240" w:lineRule="auto"/>
              <w:rPr>
                <w:rFonts w:eastAsia="Times New Roman" w:cs="Arial"/>
                <w:color w:val="262626" w:themeColor="text1" w:themeTint="D9"/>
                <w:sz w:val="20"/>
                <w:szCs w:val="20"/>
              </w:rPr>
            </w:pPr>
            <w:r w:rsidRPr="0012245C">
              <w:rPr>
                <w:rFonts w:eastAsia="Times New Roman" w:cs="Arial"/>
                <w:color w:val="262626" w:themeColor="text1" w:themeTint="D9"/>
                <w:kern w:val="24"/>
                <w:sz w:val="20"/>
                <w:szCs w:val="20"/>
              </w:rPr>
              <w:t>Particulates</w:t>
            </w:r>
          </w:p>
        </w:tc>
        <w:tc>
          <w:tcPr>
            <w:tcW w:w="2880" w:type="dxa"/>
            <w:tcBorders>
              <w:top w:val="single" w:sz="8" w:space="0" w:color="FFFFFF"/>
              <w:left w:val="single" w:sz="8" w:space="0" w:color="FFFFFF"/>
              <w:bottom w:val="single" w:sz="8" w:space="0" w:color="FFFFFF"/>
              <w:right w:val="single" w:sz="8" w:space="0" w:color="FFFFFF"/>
            </w:tcBorders>
            <w:shd w:val="clear" w:color="auto" w:fill="CDE3F8"/>
            <w:tcMar>
              <w:top w:w="72" w:type="dxa"/>
              <w:left w:w="144" w:type="dxa"/>
              <w:bottom w:w="72" w:type="dxa"/>
              <w:right w:w="144" w:type="dxa"/>
            </w:tcMar>
            <w:vAlign w:val="center"/>
            <w:hideMark/>
          </w:tcPr>
          <w:p w14:paraId="58428AF2" w14:textId="77777777" w:rsidR="003D66F8" w:rsidRPr="00933E88" w:rsidRDefault="003D66F8" w:rsidP="003D66F8">
            <w:pPr>
              <w:spacing w:after="0" w:line="240" w:lineRule="auto"/>
              <w:jc w:val="center"/>
              <w:rPr>
                <w:rFonts w:eastAsia="Times New Roman" w:cs="Arial"/>
                <w:sz w:val="20"/>
                <w:szCs w:val="20"/>
              </w:rPr>
            </w:pPr>
            <w:r w:rsidRPr="00933E88">
              <w:rPr>
                <w:rFonts w:eastAsiaTheme="minorEastAsia"/>
                <w:color w:val="595959" w:themeColor="text1" w:themeTint="A6"/>
                <w:kern w:val="24"/>
                <w:sz w:val="20"/>
                <w:szCs w:val="20"/>
              </w:rPr>
              <w:t>Baseline</w:t>
            </w:r>
          </w:p>
        </w:tc>
        <w:tc>
          <w:tcPr>
            <w:tcW w:w="3600" w:type="dxa"/>
            <w:tcBorders>
              <w:top w:val="single" w:sz="8" w:space="0" w:color="FFFFFF"/>
              <w:left w:val="single" w:sz="8" w:space="0" w:color="FFFFFF"/>
              <w:bottom w:val="single" w:sz="8" w:space="0" w:color="FFFFFF"/>
              <w:right w:val="single" w:sz="8" w:space="0" w:color="FFFFFF"/>
            </w:tcBorders>
            <w:shd w:val="clear" w:color="auto" w:fill="CDE3F8"/>
            <w:tcMar>
              <w:top w:w="72" w:type="dxa"/>
              <w:left w:w="144" w:type="dxa"/>
              <w:bottom w:w="72" w:type="dxa"/>
              <w:right w:w="144" w:type="dxa"/>
            </w:tcMar>
            <w:vAlign w:val="center"/>
            <w:hideMark/>
          </w:tcPr>
          <w:p w14:paraId="0BD94860" w14:textId="77777777" w:rsidR="003D66F8" w:rsidRPr="00933E88" w:rsidRDefault="003D66F8" w:rsidP="003D66F8">
            <w:pPr>
              <w:spacing w:after="0" w:line="240" w:lineRule="auto"/>
              <w:jc w:val="center"/>
              <w:rPr>
                <w:rFonts w:eastAsia="Times New Roman" w:cs="Arial"/>
                <w:sz w:val="20"/>
                <w:szCs w:val="20"/>
              </w:rPr>
            </w:pPr>
            <w:r w:rsidRPr="00933E88">
              <w:rPr>
                <w:rFonts w:eastAsiaTheme="minorEastAsia"/>
                <w:color w:val="595959" w:themeColor="text1" w:themeTint="A6"/>
                <w:kern w:val="24"/>
                <w:sz w:val="20"/>
                <w:szCs w:val="20"/>
              </w:rPr>
              <w:t>33% lower</w:t>
            </w:r>
          </w:p>
        </w:tc>
      </w:tr>
      <w:tr w:rsidR="003D66F8" w:rsidRPr="00DB0D0D" w14:paraId="3C6BC4EC" w14:textId="77777777" w:rsidTr="0012245C">
        <w:trPr>
          <w:trHeight w:val="250"/>
        </w:trPr>
        <w:tc>
          <w:tcPr>
            <w:tcW w:w="233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vAlign w:val="center"/>
            <w:hideMark/>
          </w:tcPr>
          <w:p w14:paraId="6719A9D5" w14:textId="77777777" w:rsidR="003D66F8" w:rsidRPr="0012245C" w:rsidRDefault="003D66F8" w:rsidP="003D66F8">
            <w:pPr>
              <w:spacing w:after="0" w:line="240" w:lineRule="auto"/>
              <w:rPr>
                <w:rFonts w:eastAsia="Times New Roman" w:cs="Arial"/>
                <w:color w:val="262626" w:themeColor="text1" w:themeTint="D9"/>
                <w:sz w:val="20"/>
                <w:szCs w:val="20"/>
              </w:rPr>
            </w:pPr>
            <w:r w:rsidRPr="0012245C">
              <w:rPr>
                <w:rFonts w:eastAsia="Times New Roman" w:cs="Arial"/>
                <w:color w:val="262626" w:themeColor="text1" w:themeTint="D9"/>
                <w:kern w:val="24"/>
                <w:sz w:val="20"/>
                <w:szCs w:val="20"/>
              </w:rPr>
              <w:t>CO¹</w:t>
            </w:r>
          </w:p>
        </w:tc>
        <w:tc>
          <w:tcPr>
            <w:tcW w:w="2880" w:type="dxa"/>
            <w:tcBorders>
              <w:top w:val="single" w:sz="8" w:space="0" w:color="FFFFFF"/>
              <w:left w:val="single" w:sz="8" w:space="0" w:color="FFFFFF"/>
              <w:bottom w:val="single" w:sz="8" w:space="0" w:color="FFFFFF"/>
              <w:right w:val="single" w:sz="8" w:space="0" w:color="FFFFFF"/>
            </w:tcBorders>
            <w:shd w:val="clear" w:color="auto" w:fill="CDE3F8"/>
            <w:tcMar>
              <w:top w:w="72" w:type="dxa"/>
              <w:left w:w="144" w:type="dxa"/>
              <w:bottom w:w="72" w:type="dxa"/>
              <w:right w:w="144" w:type="dxa"/>
            </w:tcMar>
            <w:vAlign w:val="center"/>
            <w:hideMark/>
          </w:tcPr>
          <w:p w14:paraId="5E9549B0" w14:textId="77777777" w:rsidR="003D66F8" w:rsidRPr="00933E88" w:rsidRDefault="003D66F8" w:rsidP="003D66F8">
            <w:pPr>
              <w:spacing w:after="0" w:line="240" w:lineRule="auto"/>
              <w:jc w:val="center"/>
              <w:rPr>
                <w:rFonts w:eastAsia="Times New Roman" w:cs="Arial"/>
                <w:sz w:val="20"/>
                <w:szCs w:val="20"/>
              </w:rPr>
            </w:pPr>
            <w:r w:rsidRPr="00933E88">
              <w:rPr>
                <w:rFonts w:eastAsiaTheme="minorEastAsia"/>
                <w:color w:val="595959" w:themeColor="text1" w:themeTint="A6"/>
                <w:kern w:val="24"/>
                <w:sz w:val="20"/>
                <w:szCs w:val="20"/>
              </w:rPr>
              <w:t>Baseline</w:t>
            </w:r>
          </w:p>
        </w:tc>
        <w:tc>
          <w:tcPr>
            <w:tcW w:w="3600" w:type="dxa"/>
            <w:tcBorders>
              <w:top w:val="single" w:sz="8" w:space="0" w:color="FFFFFF"/>
              <w:left w:val="single" w:sz="8" w:space="0" w:color="FFFFFF"/>
              <w:bottom w:val="single" w:sz="8" w:space="0" w:color="FFFFFF"/>
              <w:right w:val="single" w:sz="8" w:space="0" w:color="FFFFFF"/>
            </w:tcBorders>
            <w:shd w:val="clear" w:color="auto" w:fill="CDE3F8"/>
            <w:tcMar>
              <w:top w:w="72" w:type="dxa"/>
              <w:left w:w="144" w:type="dxa"/>
              <w:bottom w:w="72" w:type="dxa"/>
              <w:right w:w="144" w:type="dxa"/>
            </w:tcMar>
            <w:vAlign w:val="center"/>
            <w:hideMark/>
          </w:tcPr>
          <w:p w14:paraId="2038C1B3" w14:textId="77777777" w:rsidR="003D66F8" w:rsidRPr="00933E88" w:rsidRDefault="003D66F8" w:rsidP="003D66F8">
            <w:pPr>
              <w:spacing w:after="0" w:line="240" w:lineRule="auto"/>
              <w:jc w:val="center"/>
              <w:rPr>
                <w:rFonts w:eastAsia="Times New Roman" w:cs="Arial"/>
                <w:sz w:val="20"/>
                <w:szCs w:val="20"/>
              </w:rPr>
            </w:pPr>
            <w:r w:rsidRPr="00933E88">
              <w:rPr>
                <w:rFonts w:eastAsia="Times New Roman" w:cs="Arial"/>
                <w:color w:val="595959" w:themeColor="text1" w:themeTint="A6"/>
                <w:kern w:val="24"/>
                <w:sz w:val="20"/>
                <w:szCs w:val="20"/>
              </w:rPr>
              <w:t>20% lower</w:t>
            </w:r>
          </w:p>
        </w:tc>
      </w:tr>
      <w:tr w:rsidR="003D66F8" w:rsidRPr="00DB0D0D" w14:paraId="17D4E897" w14:textId="77777777" w:rsidTr="0012245C">
        <w:trPr>
          <w:trHeight w:val="376"/>
        </w:trPr>
        <w:tc>
          <w:tcPr>
            <w:tcW w:w="233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vAlign w:val="center"/>
            <w:hideMark/>
          </w:tcPr>
          <w:p w14:paraId="0D6E63DC" w14:textId="77777777" w:rsidR="003D66F8" w:rsidRPr="0012245C" w:rsidRDefault="003D66F8" w:rsidP="003D66F8">
            <w:pPr>
              <w:spacing w:after="0" w:line="240" w:lineRule="auto"/>
              <w:rPr>
                <w:rFonts w:eastAsia="Times New Roman" w:cs="Arial"/>
                <w:color w:val="262626" w:themeColor="text1" w:themeTint="D9"/>
                <w:sz w:val="20"/>
                <w:szCs w:val="20"/>
              </w:rPr>
            </w:pPr>
            <w:r w:rsidRPr="0012245C">
              <w:rPr>
                <w:rFonts w:eastAsia="Times New Roman" w:cs="Arial"/>
                <w:color w:val="262626" w:themeColor="text1" w:themeTint="D9"/>
                <w:kern w:val="24"/>
                <w:sz w:val="20"/>
                <w:szCs w:val="20"/>
              </w:rPr>
              <w:t>Hydrocarbons¹</w:t>
            </w:r>
          </w:p>
        </w:tc>
        <w:tc>
          <w:tcPr>
            <w:tcW w:w="2880" w:type="dxa"/>
            <w:tcBorders>
              <w:top w:val="single" w:sz="8" w:space="0" w:color="FFFFFF"/>
              <w:left w:val="single" w:sz="8" w:space="0" w:color="FFFFFF"/>
              <w:bottom w:val="single" w:sz="8" w:space="0" w:color="FFFFFF"/>
              <w:right w:val="single" w:sz="8" w:space="0" w:color="FFFFFF"/>
            </w:tcBorders>
            <w:shd w:val="clear" w:color="auto" w:fill="E8F1FB"/>
            <w:tcMar>
              <w:top w:w="72" w:type="dxa"/>
              <w:left w:w="144" w:type="dxa"/>
              <w:bottom w:w="72" w:type="dxa"/>
              <w:right w:w="144" w:type="dxa"/>
            </w:tcMar>
            <w:vAlign w:val="center"/>
            <w:hideMark/>
          </w:tcPr>
          <w:p w14:paraId="5EF9A565" w14:textId="77777777" w:rsidR="003D66F8" w:rsidRPr="00933E88" w:rsidRDefault="003D66F8" w:rsidP="003D66F8">
            <w:pPr>
              <w:spacing w:after="0" w:line="240" w:lineRule="auto"/>
              <w:jc w:val="center"/>
              <w:rPr>
                <w:rFonts w:eastAsia="Times New Roman" w:cs="Arial"/>
                <w:sz w:val="20"/>
                <w:szCs w:val="20"/>
              </w:rPr>
            </w:pPr>
            <w:r w:rsidRPr="00933E88">
              <w:rPr>
                <w:rFonts w:eastAsiaTheme="minorEastAsia"/>
                <w:color w:val="595959" w:themeColor="text1" w:themeTint="A6"/>
                <w:kern w:val="24"/>
                <w:sz w:val="20"/>
                <w:szCs w:val="20"/>
              </w:rPr>
              <w:t>Baseline</w:t>
            </w:r>
          </w:p>
        </w:tc>
        <w:tc>
          <w:tcPr>
            <w:tcW w:w="3600" w:type="dxa"/>
            <w:tcBorders>
              <w:top w:val="single" w:sz="8" w:space="0" w:color="FFFFFF"/>
              <w:left w:val="single" w:sz="8" w:space="0" w:color="FFFFFF"/>
              <w:bottom w:val="single" w:sz="8" w:space="0" w:color="FFFFFF"/>
              <w:right w:val="single" w:sz="8" w:space="0" w:color="FFFFFF"/>
            </w:tcBorders>
            <w:shd w:val="clear" w:color="auto" w:fill="E8F1FB"/>
            <w:tcMar>
              <w:top w:w="72" w:type="dxa"/>
              <w:left w:w="144" w:type="dxa"/>
              <w:bottom w:w="72" w:type="dxa"/>
              <w:right w:w="144" w:type="dxa"/>
            </w:tcMar>
            <w:vAlign w:val="center"/>
            <w:hideMark/>
          </w:tcPr>
          <w:p w14:paraId="2A4AEF8E" w14:textId="77777777" w:rsidR="003D66F8" w:rsidRPr="00933E88" w:rsidRDefault="003D66F8" w:rsidP="003D66F8">
            <w:pPr>
              <w:spacing w:after="0" w:line="240" w:lineRule="auto"/>
              <w:jc w:val="center"/>
              <w:rPr>
                <w:rFonts w:eastAsia="Times New Roman" w:cs="Arial"/>
                <w:sz w:val="20"/>
                <w:szCs w:val="20"/>
              </w:rPr>
            </w:pPr>
            <w:r w:rsidRPr="00933E88">
              <w:rPr>
                <w:rFonts w:eastAsia="Times New Roman" w:cs="Arial"/>
                <w:color w:val="595959" w:themeColor="text1" w:themeTint="A6"/>
                <w:kern w:val="24"/>
                <w:sz w:val="20"/>
                <w:szCs w:val="20"/>
              </w:rPr>
              <w:t>27% lower</w:t>
            </w:r>
          </w:p>
        </w:tc>
      </w:tr>
    </w:tbl>
    <w:p w14:paraId="5DEB9FB4" w14:textId="77777777" w:rsidR="003D66F8" w:rsidRPr="006100CE" w:rsidRDefault="003D66F8" w:rsidP="003D66F8">
      <w:pPr>
        <w:tabs>
          <w:tab w:val="left" w:pos="720"/>
        </w:tabs>
        <w:spacing w:after="480" w:line="300" w:lineRule="auto"/>
        <w:rPr>
          <w:b/>
          <w:color w:val="595959" w:themeColor="text1" w:themeTint="A6"/>
          <w:sz w:val="24"/>
          <w:szCs w:val="24"/>
        </w:rPr>
      </w:pPr>
      <w:r>
        <w:rPr>
          <w:b/>
          <w:color w:val="595959" w:themeColor="text1" w:themeTint="A6"/>
          <w:sz w:val="24"/>
          <w:szCs w:val="24"/>
        </w:rPr>
        <w:br/>
      </w:r>
      <w:r w:rsidRPr="006100CE">
        <w:rPr>
          <w:b/>
          <w:color w:val="000000" w:themeColor="text1"/>
          <w:sz w:val="24"/>
          <w:szCs w:val="24"/>
        </w:rPr>
        <w:t>Table II.  Fuel Properties Comparison</w:t>
      </w:r>
    </w:p>
    <w:p w14:paraId="335A94BB" w14:textId="74A3F37E" w:rsidR="00E44D19" w:rsidRDefault="00945F83" w:rsidP="00945F83">
      <w:pPr>
        <w:tabs>
          <w:tab w:val="left" w:pos="900"/>
        </w:tabs>
        <w:spacing w:after="480" w:line="300" w:lineRule="auto"/>
        <w:jc w:val="center"/>
        <w:rPr>
          <w:color w:val="000000" w:themeColor="text1"/>
        </w:rPr>
      </w:pPr>
      <w:r>
        <w:rPr>
          <w:b/>
          <w:color w:val="000000" w:themeColor="text1"/>
          <w:sz w:val="32"/>
          <w:szCs w:val="32"/>
        </w:rPr>
        <w:lastRenderedPageBreak/>
        <w:br/>
      </w:r>
      <w:r w:rsidR="00E44D19" w:rsidRPr="005C2A29">
        <w:rPr>
          <w:b/>
          <w:color w:val="000000" w:themeColor="text1"/>
          <w:sz w:val="32"/>
          <w:szCs w:val="32"/>
        </w:rPr>
        <w:t>APPENDIX</w:t>
      </w:r>
      <w:r w:rsidR="00E44D19">
        <w:rPr>
          <w:b/>
          <w:color w:val="000000" w:themeColor="text1"/>
          <w:sz w:val="32"/>
          <w:szCs w:val="32"/>
        </w:rPr>
        <w:t xml:space="preserve"> B</w:t>
      </w:r>
      <w:r>
        <w:rPr>
          <w:b/>
          <w:color w:val="000000" w:themeColor="text1"/>
          <w:sz w:val="32"/>
          <w:szCs w:val="32"/>
        </w:rPr>
        <w:br/>
      </w:r>
      <w:r>
        <w:rPr>
          <w:noProof/>
        </w:rPr>
        <w:drawing>
          <wp:inline distT="0" distB="0" distL="0" distR="0" wp14:anchorId="54CB1FD1" wp14:editId="1A44D5EC">
            <wp:extent cx="5943600" cy="3581400"/>
            <wp:effectExtent l="0" t="0" r="0" b="0"/>
            <wp:docPr id="4" name="Chart 4">
              <a:extLst xmlns:a="http://schemas.openxmlformats.org/drawingml/2006/main">
                <a:ext uri="{FF2B5EF4-FFF2-40B4-BE49-F238E27FC236}">
                  <a16:creationId xmlns:a16="http://schemas.microsoft.com/office/drawing/2014/main" id="{8EE402E2-BF64-413C-B25A-DDDA413FC4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rPr>
        <w:drawing>
          <wp:inline distT="0" distB="0" distL="0" distR="0" wp14:anchorId="6C62E246" wp14:editId="5C41B495">
            <wp:extent cx="5943600" cy="3857625"/>
            <wp:effectExtent l="0" t="0" r="0" b="9525"/>
            <wp:docPr id="1" name="Chart 1">
              <a:extLst xmlns:a="http://schemas.openxmlformats.org/drawingml/2006/main">
                <a:ext uri="{FF2B5EF4-FFF2-40B4-BE49-F238E27FC236}">
                  <a16:creationId xmlns:a16="http://schemas.microsoft.com/office/drawing/2014/main" id="{8EE402E2-BF64-413C-B25A-DDDA413FC4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508A9B1" w14:textId="6D2E9E34" w:rsidR="00B25ADF" w:rsidRDefault="00B32122" w:rsidP="00B32122">
      <w:pPr>
        <w:tabs>
          <w:tab w:val="left" w:pos="900"/>
        </w:tabs>
        <w:spacing w:after="480" w:line="300" w:lineRule="auto"/>
        <w:rPr>
          <w:color w:val="000000" w:themeColor="text1"/>
        </w:rPr>
      </w:pPr>
      <w:r>
        <w:rPr>
          <w:color w:val="000000" w:themeColor="text1"/>
        </w:rPr>
        <w:t>Historically, w</w:t>
      </w:r>
      <w:r w:rsidR="00945F83">
        <w:rPr>
          <w:color w:val="000000" w:themeColor="text1"/>
        </w:rPr>
        <w:t>hen a subsidy is lost, feedstock is adjusted downward by suppliers</w:t>
      </w:r>
      <w:r>
        <w:rPr>
          <w:color w:val="000000" w:themeColor="text1"/>
        </w:rPr>
        <w:t xml:space="preserve"> to meet #2 Diesel fuel parity</w:t>
      </w:r>
      <w:r w:rsidR="00945F83">
        <w:rPr>
          <w:color w:val="000000" w:themeColor="text1"/>
        </w:rPr>
        <w:t>.</w:t>
      </w:r>
      <w:r>
        <w:rPr>
          <w:color w:val="000000" w:themeColor="text1"/>
        </w:rPr>
        <w:t xml:space="preserve"> The most pre</w:t>
      </w:r>
      <w:r w:rsidR="00480E2F">
        <w:rPr>
          <w:color w:val="000000" w:themeColor="text1"/>
        </w:rPr>
        <w:t>dominant</w:t>
      </w:r>
      <w:r>
        <w:rPr>
          <w:color w:val="000000" w:themeColor="text1"/>
        </w:rPr>
        <w:t xml:space="preserve"> case </w:t>
      </w:r>
      <w:r w:rsidR="00480E2F">
        <w:rPr>
          <w:color w:val="000000" w:themeColor="text1"/>
        </w:rPr>
        <w:t>wa</w:t>
      </w:r>
      <w:r>
        <w:rPr>
          <w:color w:val="000000" w:themeColor="text1"/>
        </w:rPr>
        <w:t>s the loss of</w:t>
      </w:r>
      <w:r w:rsidR="00480E2F">
        <w:rPr>
          <w:color w:val="000000" w:themeColor="text1"/>
        </w:rPr>
        <w:t xml:space="preserve"> the </w:t>
      </w:r>
      <w:r>
        <w:rPr>
          <w:color w:val="000000" w:themeColor="text1"/>
        </w:rPr>
        <w:t>$1.01/gal</w:t>
      </w:r>
      <w:r w:rsidR="00480E2F">
        <w:rPr>
          <w:color w:val="000000" w:themeColor="text1"/>
        </w:rPr>
        <w:t>.</w:t>
      </w:r>
      <w:r>
        <w:rPr>
          <w:color w:val="000000" w:themeColor="text1"/>
        </w:rPr>
        <w:t xml:space="preserve"> blenders’ credit</w:t>
      </w:r>
      <w:r w:rsidR="00480E2F">
        <w:rPr>
          <w:color w:val="000000" w:themeColor="text1"/>
        </w:rPr>
        <w:t xml:space="preserve"> five times in 10 years.</w:t>
      </w:r>
    </w:p>
    <w:p w14:paraId="73F86F8E" w14:textId="10036B6A" w:rsidR="00FD1EDE" w:rsidRPr="00EB0BC4" w:rsidRDefault="00EB0BC4" w:rsidP="00FD1EDE">
      <w:pPr>
        <w:tabs>
          <w:tab w:val="left" w:pos="900"/>
        </w:tabs>
        <w:spacing w:after="480" w:line="300" w:lineRule="auto"/>
        <w:jc w:val="center"/>
        <w:rPr>
          <w:b/>
          <w:color w:val="000000" w:themeColor="text1"/>
          <w:sz w:val="32"/>
          <w:szCs w:val="32"/>
        </w:rPr>
      </w:pPr>
      <w:r>
        <w:rPr>
          <w:b/>
          <w:color w:val="000000" w:themeColor="text1"/>
          <w:sz w:val="32"/>
          <w:szCs w:val="32"/>
        </w:rPr>
        <w:lastRenderedPageBreak/>
        <w:br/>
      </w:r>
      <w:r w:rsidR="00FD1EDE" w:rsidRPr="00EB0BC4">
        <w:rPr>
          <w:b/>
          <w:color w:val="000000" w:themeColor="text1"/>
          <w:sz w:val="32"/>
          <w:szCs w:val="32"/>
        </w:rPr>
        <w:t>APPENDIX C</w:t>
      </w:r>
    </w:p>
    <w:p w14:paraId="7423D8DC" w14:textId="6704BF12" w:rsidR="00FD1EDE" w:rsidRDefault="00FD1EDE" w:rsidP="00FD1EDE">
      <w:pPr>
        <w:tabs>
          <w:tab w:val="left" w:pos="900"/>
        </w:tabs>
        <w:spacing w:after="480" w:line="300" w:lineRule="auto"/>
        <w:rPr>
          <w:b/>
          <w:color w:val="000000" w:themeColor="text1"/>
          <w:sz w:val="24"/>
          <w:szCs w:val="24"/>
        </w:rPr>
      </w:pPr>
      <w:r w:rsidRPr="00FD1EDE">
        <w:rPr>
          <w:b/>
          <w:color w:val="000000" w:themeColor="text1"/>
          <w:sz w:val="24"/>
          <w:szCs w:val="24"/>
        </w:rPr>
        <w:t>Plant Gallery</w:t>
      </w:r>
    </w:p>
    <w:p w14:paraId="68639633" w14:textId="53D82D23" w:rsidR="00FD1EDE" w:rsidRDefault="00FD1EDE" w:rsidP="00FD1EDE">
      <w:pPr>
        <w:tabs>
          <w:tab w:val="left" w:pos="900"/>
        </w:tabs>
        <w:spacing w:after="480" w:line="300" w:lineRule="auto"/>
        <w:rPr>
          <w:i/>
          <w:color w:val="000000" w:themeColor="text1"/>
          <w:sz w:val="20"/>
          <w:szCs w:val="20"/>
        </w:rPr>
      </w:pPr>
      <w:r>
        <w:rPr>
          <w:b/>
          <w:noProof/>
          <w:color w:val="000000" w:themeColor="text1"/>
          <w:sz w:val="24"/>
          <w:szCs w:val="24"/>
        </w:rPr>
        <w:drawing>
          <wp:inline distT="0" distB="0" distL="0" distR="0" wp14:anchorId="60392212" wp14:editId="64BE39A7">
            <wp:extent cx="3990975" cy="29932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llsizeoutput_2440.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999326" cy="2999494"/>
                    </a:xfrm>
                    <a:prstGeom prst="rect">
                      <a:avLst/>
                    </a:prstGeom>
                  </pic:spPr>
                </pic:pic>
              </a:graphicData>
            </a:graphic>
          </wp:inline>
        </w:drawing>
      </w:r>
      <w:r>
        <w:rPr>
          <w:i/>
          <w:color w:val="000000" w:themeColor="text1"/>
          <w:sz w:val="20"/>
          <w:szCs w:val="20"/>
        </w:rPr>
        <w:br/>
      </w:r>
      <w:bookmarkStart w:id="3" w:name="_Hlk506825984"/>
      <w:r w:rsidRPr="00FD1EDE">
        <w:rPr>
          <w:i/>
          <w:color w:val="000000" w:themeColor="text1"/>
          <w:sz w:val="20"/>
          <w:szCs w:val="20"/>
        </w:rPr>
        <w:t xml:space="preserve">CHS, Inc. Super Biodiesel plant co-located with 110mmgy </w:t>
      </w:r>
      <w:r>
        <w:rPr>
          <w:i/>
          <w:color w:val="000000" w:themeColor="text1"/>
          <w:sz w:val="20"/>
          <w:szCs w:val="20"/>
        </w:rPr>
        <w:t>E</w:t>
      </w:r>
      <w:r w:rsidRPr="00FD1EDE">
        <w:rPr>
          <w:i/>
          <w:color w:val="000000" w:themeColor="text1"/>
          <w:sz w:val="20"/>
          <w:szCs w:val="20"/>
        </w:rPr>
        <w:t>thanol plant, Annawan, IL</w:t>
      </w:r>
      <w:bookmarkEnd w:id="3"/>
    </w:p>
    <w:p w14:paraId="738560AE" w14:textId="5F419562" w:rsidR="00FD1EDE" w:rsidRDefault="00FD1EDE" w:rsidP="00FD1EDE">
      <w:pPr>
        <w:tabs>
          <w:tab w:val="left" w:pos="900"/>
        </w:tabs>
        <w:spacing w:after="480" w:line="300" w:lineRule="auto"/>
        <w:rPr>
          <w:i/>
          <w:color w:val="000000" w:themeColor="text1"/>
          <w:sz w:val="20"/>
          <w:szCs w:val="20"/>
        </w:rPr>
      </w:pPr>
      <w:r>
        <w:rPr>
          <w:noProof/>
          <w:color w:val="000000" w:themeColor="text1"/>
          <w:sz w:val="20"/>
          <w:szCs w:val="20"/>
        </w:rPr>
        <w:drawing>
          <wp:inline distT="0" distB="0" distL="0" distR="0" wp14:anchorId="1F4FDDE2" wp14:editId="5E58F9A4">
            <wp:extent cx="4036501" cy="302895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an.jpg"/>
                    <pic:cNvPicPr/>
                  </pic:nvPicPr>
                  <pic:blipFill>
                    <a:blip r:embed="rId21">
                      <a:extLst>
                        <a:ext uri="{28A0092B-C50C-407E-A947-70E740481C1C}">
                          <a14:useLocalDpi xmlns:a14="http://schemas.microsoft.com/office/drawing/2010/main" val="0"/>
                        </a:ext>
                      </a:extLst>
                    </a:blip>
                    <a:stretch>
                      <a:fillRect/>
                    </a:stretch>
                  </pic:blipFill>
                  <pic:spPr>
                    <a:xfrm>
                      <a:off x="0" y="0"/>
                      <a:ext cx="4038829" cy="3030697"/>
                    </a:xfrm>
                    <a:prstGeom prst="rect">
                      <a:avLst/>
                    </a:prstGeom>
                  </pic:spPr>
                </pic:pic>
              </a:graphicData>
            </a:graphic>
          </wp:inline>
        </w:drawing>
      </w:r>
      <w:r w:rsidRPr="00FD1EDE">
        <w:rPr>
          <w:i/>
          <w:color w:val="000000" w:themeColor="text1"/>
          <w:sz w:val="20"/>
          <w:szCs w:val="20"/>
        </w:rPr>
        <w:t xml:space="preserve"> </w:t>
      </w:r>
      <w:r>
        <w:rPr>
          <w:i/>
          <w:color w:val="000000" w:themeColor="text1"/>
          <w:sz w:val="20"/>
          <w:szCs w:val="20"/>
        </w:rPr>
        <w:br/>
        <w:t>Vanguard</w:t>
      </w:r>
      <w:r w:rsidRPr="00FD1EDE">
        <w:rPr>
          <w:i/>
          <w:color w:val="000000" w:themeColor="text1"/>
          <w:sz w:val="20"/>
          <w:szCs w:val="20"/>
        </w:rPr>
        <w:t xml:space="preserve"> Biodiesel </w:t>
      </w:r>
      <w:r>
        <w:rPr>
          <w:i/>
          <w:color w:val="000000" w:themeColor="text1"/>
          <w:sz w:val="20"/>
          <w:szCs w:val="20"/>
        </w:rPr>
        <w:t>15mmgy, Pollock, LA</w:t>
      </w:r>
    </w:p>
    <w:p w14:paraId="720CBA9F" w14:textId="4CFEFFC6" w:rsidR="00780A05" w:rsidRDefault="00780A05" w:rsidP="00FD1EDE">
      <w:pPr>
        <w:tabs>
          <w:tab w:val="left" w:pos="900"/>
        </w:tabs>
        <w:spacing w:after="480" w:line="300" w:lineRule="auto"/>
        <w:rPr>
          <w:color w:val="000000" w:themeColor="text1"/>
          <w:sz w:val="20"/>
          <w:szCs w:val="20"/>
        </w:rPr>
      </w:pPr>
    </w:p>
    <w:p w14:paraId="60E48F38" w14:textId="23A42D78" w:rsidR="00780A05" w:rsidRPr="00EB0BC4" w:rsidRDefault="00EB0BC4" w:rsidP="00780A05">
      <w:pPr>
        <w:ind w:right="-180"/>
        <w:jc w:val="center"/>
        <w:rPr>
          <w:b/>
          <w:smallCaps/>
          <w:color w:val="404040" w:themeColor="text1" w:themeTint="BF"/>
          <w:sz w:val="32"/>
          <w:szCs w:val="32"/>
        </w:rPr>
      </w:pPr>
      <w:r>
        <w:rPr>
          <w:b/>
          <w:color w:val="000000" w:themeColor="text1"/>
          <w:sz w:val="32"/>
          <w:szCs w:val="32"/>
        </w:rPr>
        <w:lastRenderedPageBreak/>
        <w:br/>
      </w:r>
      <w:r w:rsidR="00780A05" w:rsidRPr="00EB0BC4">
        <w:rPr>
          <w:b/>
          <w:color w:val="000000" w:themeColor="text1"/>
          <w:sz w:val="32"/>
          <w:szCs w:val="32"/>
        </w:rPr>
        <w:t xml:space="preserve">APPENDIX </w:t>
      </w:r>
      <w:r w:rsidR="00780A05" w:rsidRPr="00EB0BC4">
        <w:rPr>
          <w:b/>
          <w:color w:val="000000" w:themeColor="text1"/>
          <w:sz w:val="32"/>
          <w:szCs w:val="32"/>
        </w:rPr>
        <w:t>D</w:t>
      </w:r>
    </w:p>
    <w:p w14:paraId="1066346A" w14:textId="79E8EE26" w:rsidR="00780A05" w:rsidRPr="00780A05" w:rsidRDefault="00780A05" w:rsidP="00780A05">
      <w:pPr>
        <w:tabs>
          <w:tab w:val="left" w:pos="900"/>
        </w:tabs>
        <w:spacing w:after="480" w:line="300" w:lineRule="auto"/>
        <w:rPr>
          <w:b/>
          <w:color w:val="000000" w:themeColor="text1"/>
          <w:sz w:val="24"/>
          <w:szCs w:val="24"/>
        </w:rPr>
      </w:pPr>
      <w:r w:rsidRPr="00780A05">
        <w:rPr>
          <w:b/>
          <w:color w:val="000000" w:themeColor="text1"/>
          <w:sz w:val="24"/>
          <w:szCs w:val="24"/>
        </w:rPr>
        <w:t>Plant</w:t>
      </w:r>
      <w:r w:rsidRPr="00780A05">
        <w:rPr>
          <w:b/>
          <w:color w:val="000000" w:themeColor="text1"/>
          <w:sz w:val="24"/>
          <w:szCs w:val="24"/>
        </w:rPr>
        <w:t xml:space="preserve"> Projects to Date</w:t>
      </w:r>
      <w:r w:rsidRPr="00780A05">
        <w:rPr>
          <w:b/>
          <w:color w:val="000000" w:themeColor="text1"/>
          <w:sz w:val="24"/>
          <w:szCs w:val="24"/>
        </w:rPr>
        <w:t xml:space="preserve"> Gallery</w:t>
      </w:r>
    </w:p>
    <w:p w14:paraId="57302BB3" w14:textId="77777777" w:rsidR="00780A05" w:rsidRPr="00631375" w:rsidRDefault="00780A05" w:rsidP="00780A05">
      <w:pPr>
        <w:widowControl w:val="0"/>
        <w:numPr>
          <w:ilvl w:val="0"/>
          <w:numId w:val="8"/>
        </w:numPr>
        <w:autoSpaceDE w:val="0"/>
        <w:autoSpaceDN w:val="0"/>
        <w:adjustRightInd w:val="0"/>
        <w:spacing w:after="0" w:line="300" w:lineRule="auto"/>
        <w:ind w:left="1170" w:hanging="810"/>
        <w:textAlignment w:val="center"/>
        <w:rPr>
          <w:color w:val="404040" w:themeColor="text1" w:themeTint="BF"/>
        </w:rPr>
      </w:pPr>
      <w:r w:rsidRPr="00631375">
        <w:rPr>
          <w:color w:val="404040" w:themeColor="text1" w:themeTint="BF"/>
        </w:rPr>
        <w:t>American Ag Fuels, Defiance, OH</w:t>
      </w:r>
    </w:p>
    <w:p w14:paraId="6E095AED" w14:textId="77777777" w:rsidR="00780A05" w:rsidRPr="00631375" w:rsidRDefault="00780A05" w:rsidP="00780A05">
      <w:pPr>
        <w:widowControl w:val="0"/>
        <w:numPr>
          <w:ilvl w:val="0"/>
          <w:numId w:val="8"/>
        </w:numPr>
        <w:autoSpaceDE w:val="0"/>
        <w:autoSpaceDN w:val="0"/>
        <w:adjustRightInd w:val="0"/>
        <w:spacing w:after="0" w:line="300" w:lineRule="auto"/>
        <w:ind w:left="1170" w:hanging="810"/>
        <w:textAlignment w:val="center"/>
        <w:rPr>
          <w:color w:val="404040" w:themeColor="text1" w:themeTint="BF"/>
        </w:rPr>
      </w:pPr>
      <w:r w:rsidRPr="00631375">
        <w:rPr>
          <w:color w:val="404040" w:themeColor="text1" w:themeTint="BF"/>
        </w:rPr>
        <w:t>Middletown Biofuels, Harrisburg, PA</w:t>
      </w:r>
    </w:p>
    <w:p w14:paraId="77F21B53" w14:textId="77777777" w:rsidR="00780A05" w:rsidRPr="00631375" w:rsidRDefault="00780A05" w:rsidP="00780A05">
      <w:pPr>
        <w:widowControl w:val="0"/>
        <w:numPr>
          <w:ilvl w:val="0"/>
          <w:numId w:val="8"/>
        </w:numPr>
        <w:autoSpaceDE w:val="0"/>
        <w:autoSpaceDN w:val="0"/>
        <w:adjustRightInd w:val="0"/>
        <w:spacing w:after="0" w:line="300" w:lineRule="auto"/>
        <w:ind w:left="1170" w:hanging="810"/>
        <w:textAlignment w:val="center"/>
        <w:rPr>
          <w:color w:val="404040" w:themeColor="text1" w:themeTint="BF"/>
        </w:rPr>
      </w:pPr>
      <w:r w:rsidRPr="00631375">
        <w:rPr>
          <w:color w:val="404040" w:themeColor="text1" w:themeTint="BF"/>
        </w:rPr>
        <w:t>Michigan Biodiesel, Bangor, MI</w:t>
      </w:r>
    </w:p>
    <w:p w14:paraId="1E0F2847" w14:textId="77777777" w:rsidR="00780A05" w:rsidRPr="00631375" w:rsidRDefault="00780A05" w:rsidP="00780A05">
      <w:pPr>
        <w:widowControl w:val="0"/>
        <w:numPr>
          <w:ilvl w:val="0"/>
          <w:numId w:val="8"/>
        </w:numPr>
        <w:autoSpaceDE w:val="0"/>
        <w:autoSpaceDN w:val="0"/>
        <w:adjustRightInd w:val="0"/>
        <w:spacing w:after="0" w:line="300" w:lineRule="auto"/>
        <w:ind w:left="1170" w:hanging="810"/>
        <w:textAlignment w:val="center"/>
        <w:rPr>
          <w:color w:val="404040" w:themeColor="text1" w:themeTint="BF"/>
        </w:rPr>
      </w:pPr>
      <w:r w:rsidRPr="00631375">
        <w:rPr>
          <w:color w:val="404040" w:themeColor="text1" w:themeTint="BF"/>
        </w:rPr>
        <w:t>Walsh Biofuels, Mauston, WI</w:t>
      </w:r>
    </w:p>
    <w:p w14:paraId="4688FFA3" w14:textId="77777777" w:rsidR="00780A05" w:rsidRPr="00631375" w:rsidRDefault="00780A05" w:rsidP="00780A05">
      <w:pPr>
        <w:widowControl w:val="0"/>
        <w:numPr>
          <w:ilvl w:val="0"/>
          <w:numId w:val="8"/>
        </w:numPr>
        <w:autoSpaceDE w:val="0"/>
        <w:autoSpaceDN w:val="0"/>
        <w:adjustRightInd w:val="0"/>
        <w:spacing w:after="0" w:line="300" w:lineRule="auto"/>
        <w:ind w:left="1170" w:hanging="810"/>
        <w:textAlignment w:val="center"/>
        <w:rPr>
          <w:color w:val="404040" w:themeColor="text1" w:themeTint="BF"/>
        </w:rPr>
      </w:pPr>
      <w:r w:rsidRPr="00631375">
        <w:rPr>
          <w:color w:val="404040" w:themeColor="text1" w:themeTint="BF"/>
        </w:rPr>
        <w:t>Mt. Coco Products, Philippines</w:t>
      </w:r>
    </w:p>
    <w:p w14:paraId="10C3F3DF" w14:textId="77777777" w:rsidR="00780A05" w:rsidRPr="00631375" w:rsidRDefault="00780A05" w:rsidP="00780A05">
      <w:pPr>
        <w:widowControl w:val="0"/>
        <w:numPr>
          <w:ilvl w:val="0"/>
          <w:numId w:val="8"/>
        </w:numPr>
        <w:autoSpaceDE w:val="0"/>
        <w:autoSpaceDN w:val="0"/>
        <w:adjustRightInd w:val="0"/>
        <w:spacing w:after="0" w:line="300" w:lineRule="auto"/>
        <w:ind w:left="1170" w:hanging="810"/>
        <w:textAlignment w:val="center"/>
        <w:rPr>
          <w:color w:val="404040" w:themeColor="text1" w:themeTint="BF"/>
        </w:rPr>
      </w:pPr>
      <w:r w:rsidRPr="00631375">
        <w:rPr>
          <w:color w:val="404040" w:themeColor="text1" w:themeTint="BF"/>
        </w:rPr>
        <w:t>Imperial Valley Biodiesel, El Centro, CA</w:t>
      </w:r>
    </w:p>
    <w:p w14:paraId="486F7BD1" w14:textId="77777777" w:rsidR="00780A05" w:rsidRPr="00631375" w:rsidRDefault="00780A05" w:rsidP="00780A05">
      <w:pPr>
        <w:widowControl w:val="0"/>
        <w:numPr>
          <w:ilvl w:val="0"/>
          <w:numId w:val="8"/>
        </w:numPr>
        <w:autoSpaceDE w:val="0"/>
        <w:autoSpaceDN w:val="0"/>
        <w:adjustRightInd w:val="0"/>
        <w:spacing w:after="0" w:line="300" w:lineRule="auto"/>
        <w:ind w:left="1170" w:hanging="810"/>
        <w:textAlignment w:val="center"/>
        <w:rPr>
          <w:color w:val="404040" w:themeColor="text1" w:themeTint="BF"/>
        </w:rPr>
      </w:pPr>
      <w:r w:rsidRPr="00631375">
        <w:rPr>
          <w:color w:val="404040" w:themeColor="text1" w:themeTint="BF"/>
        </w:rPr>
        <w:t xml:space="preserve">Greenlight Biofuels, Princess Anne, MD </w:t>
      </w:r>
    </w:p>
    <w:p w14:paraId="77EDD78A" w14:textId="77777777" w:rsidR="00780A05" w:rsidRPr="00631375" w:rsidRDefault="00780A05" w:rsidP="00780A05">
      <w:pPr>
        <w:widowControl w:val="0"/>
        <w:numPr>
          <w:ilvl w:val="0"/>
          <w:numId w:val="8"/>
        </w:numPr>
        <w:autoSpaceDE w:val="0"/>
        <w:autoSpaceDN w:val="0"/>
        <w:adjustRightInd w:val="0"/>
        <w:spacing w:after="0" w:line="300" w:lineRule="auto"/>
        <w:ind w:left="1170" w:hanging="810"/>
        <w:textAlignment w:val="center"/>
        <w:rPr>
          <w:color w:val="404040" w:themeColor="text1" w:themeTint="BF"/>
        </w:rPr>
      </w:pPr>
      <w:r w:rsidRPr="00631375">
        <w:rPr>
          <w:color w:val="404040" w:themeColor="text1" w:themeTint="BF"/>
        </w:rPr>
        <w:t>Western Biodiesel, High Plains, AB, Canada</w:t>
      </w:r>
    </w:p>
    <w:p w14:paraId="7A72C86F" w14:textId="77777777" w:rsidR="00780A05" w:rsidRPr="00631375" w:rsidRDefault="00780A05" w:rsidP="00780A05">
      <w:pPr>
        <w:widowControl w:val="0"/>
        <w:numPr>
          <w:ilvl w:val="0"/>
          <w:numId w:val="8"/>
        </w:numPr>
        <w:autoSpaceDE w:val="0"/>
        <w:autoSpaceDN w:val="0"/>
        <w:adjustRightInd w:val="0"/>
        <w:spacing w:after="0" w:line="300" w:lineRule="auto"/>
        <w:ind w:left="1170" w:hanging="810"/>
        <w:textAlignment w:val="center"/>
        <w:rPr>
          <w:color w:val="404040" w:themeColor="text1" w:themeTint="BF"/>
        </w:rPr>
      </w:pPr>
      <w:r w:rsidRPr="00631375">
        <w:rPr>
          <w:color w:val="404040" w:themeColor="text1" w:themeTint="BF"/>
        </w:rPr>
        <w:t>African Energy Initiative, Kampala, Uganda</w:t>
      </w:r>
    </w:p>
    <w:p w14:paraId="20803B8B" w14:textId="77777777" w:rsidR="00780A05" w:rsidRPr="00631375" w:rsidRDefault="00780A05" w:rsidP="00780A05">
      <w:pPr>
        <w:widowControl w:val="0"/>
        <w:numPr>
          <w:ilvl w:val="0"/>
          <w:numId w:val="8"/>
        </w:numPr>
        <w:autoSpaceDE w:val="0"/>
        <w:autoSpaceDN w:val="0"/>
        <w:adjustRightInd w:val="0"/>
        <w:spacing w:after="0" w:line="300" w:lineRule="auto"/>
        <w:ind w:left="1170" w:hanging="810"/>
        <w:textAlignment w:val="center"/>
        <w:rPr>
          <w:color w:val="404040" w:themeColor="text1" w:themeTint="BF"/>
        </w:rPr>
      </w:pPr>
      <w:r w:rsidRPr="00631375">
        <w:rPr>
          <w:color w:val="404040" w:themeColor="text1" w:themeTint="BF"/>
        </w:rPr>
        <w:t>Jatrodiesel, Miamisburg, OH</w:t>
      </w:r>
    </w:p>
    <w:p w14:paraId="727908A7" w14:textId="77777777" w:rsidR="00780A05" w:rsidRPr="00631375" w:rsidRDefault="00780A05" w:rsidP="00780A05">
      <w:pPr>
        <w:widowControl w:val="0"/>
        <w:numPr>
          <w:ilvl w:val="0"/>
          <w:numId w:val="8"/>
        </w:numPr>
        <w:autoSpaceDE w:val="0"/>
        <w:autoSpaceDN w:val="0"/>
        <w:adjustRightInd w:val="0"/>
        <w:spacing w:after="0" w:line="300" w:lineRule="auto"/>
        <w:ind w:left="1170" w:hanging="810"/>
        <w:textAlignment w:val="center"/>
        <w:rPr>
          <w:color w:val="404040" w:themeColor="text1" w:themeTint="BF"/>
        </w:rPr>
      </w:pPr>
      <w:r w:rsidRPr="00631375">
        <w:rPr>
          <w:color w:val="404040" w:themeColor="text1" w:themeTint="BF"/>
        </w:rPr>
        <w:t>Center Alternatives, Cleveland, OH</w:t>
      </w:r>
    </w:p>
    <w:p w14:paraId="284DE19C" w14:textId="77777777" w:rsidR="00780A05" w:rsidRPr="00631375" w:rsidRDefault="00780A05" w:rsidP="00780A05">
      <w:pPr>
        <w:widowControl w:val="0"/>
        <w:numPr>
          <w:ilvl w:val="0"/>
          <w:numId w:val="8"/>
        </w:numPr>
        <w:autoSpaceDE w:val="0"/>
        <w:autoSpaceDN w:val="0"/>
        <w:adjustRightInd w:val="0"/>
        <w:spacing w:after="0" w:line="300" w:lineRule="auto"/>
        <w:ind w:left="1170" w:hanging="810"/>
        <w:textAlignment w:val="center"/>
        <w:rPr>
          <w:color w:val="404040" w:themeColor="text1" w:themeTint="BF"/>
        </w:rPr>
      </w:pPr>
      <w:r w:rsidRPr="00631375">
        <w:rPr>
          <w:color w:val="404040" w:themeColor="text1" w:themeTint="BF"/>
        </w:rPr>
        <w:t>Vanguard Synfuels, Alexandria, LA</w:t>
      </w:r>
    </w:p>
    <w:p w14:paraId="4ED4E9B9" w14:textId="77777777" w:rsidR="00780A05" w:rsidRPr="00631375" w:rsidRDefault="00780A05" w:rsidP="00780A05">
      <w:pPr>
        <w:widowControl w:val="0"/>
        <w:numPr>
          <w:ilvl w:val="0"/>
          <w:numId w:val="8"/>
        </w:numPr>
        <w:autoSpaceDE w:val="0"/>
        <w:autoSpaceDN w:val="0"/>
        <w:adjustRightInd w:val="0"/>
        <w:spacing w:after="0" w:line="300" w:lineRule="auto"/>
        <w:ind w:left="1170" w:hanging="810"/>
        <w:textAlignment w:val="center"/>
        <w:rPr>
          <w:color w:val="404040" w:themeColor="text1" w:themeTint="BF"/>
        </w:rPr>
      </w:pPr>
      <w:r w:rsidRPr="00631375">
        <w:rPr>
          <w:color w:val="404040" w:themeColor="text1" w:themeTint="BF"/>
        </w:rPr>
        <w:t>Biovantage fuels, Belvidere, IL</w:t>
      </w:r>
    </w:p>
    <w:p w14:paraId="5917460E" w14:textId="77777777" w:rsidR="00780A05" w:rsidRPr="00631375" w:rsidRDefault="00780A05" w:rsidP="00780A05">
      <w:pPr>
        <w:widowControl w:val="0"/>
        <w:numPr>
          <w:ilvl w:val="0"/>
          <w:numId w:val="8"/>
        </w:numPr>
        <w:autoSpaceDE w:val="0"/>
        <w:autoSpaceDN w:val="0"/>
        <w:adjustRightInd w:val="0"/>
        <w:spacing w:after="0" w:line="300" w:lineRule="auto"/>
        <w:ind w:left="1170" w:hanging="810"/>
        <w:textAlignment w:val="center"/>
        <w:rPr>
          <w:color w:val="404040" w:themeColor="text1" w:themeTint="BF"/>
        </w:rPr>
      </w:pPr>
      <w:r w:rsidRPr="00631375">
        <w:rPr>
          <w:color w:val="404040" w:themeColor="text1" w:themeTint="BF"/>
        </w:rPr>
        <w:t>Washakie Renewables, UT</w:t>
      </w:r>
    </w:p>
    <w:p w14:paraId="6CE77DD8" w14:textId="77777777" w:rsidR="00780A05" w:rsidRPr="00631375" w:rsidRDefault="00780A05" w:rsidP="00780A05">
      <w:pPr>
        <w:widowControl w:val="0"/>
        <w:numPr>
          <w:ilvl w:val="0"/>
          <w:numId w:val="8"/>
        </w:numPr>
        <w:autoSpaceDE w:val="0"/>
        <w:autoSpaceDN w:val="0"/>
        <w:adjustRightInd w:val="0"/>
        <w:spacing w:after="0" w:line="300" w:lineRule="auto"/>
        <w:ind w:left="1170" w:hanging="810"/>
        <w:textAlignment w:val="center"/>
        <w:rPr>
          <w:color w:val="404040" w:themeColor="text1" w:themeTint="BF"/>
        </w:rPr>
      </w:pPr>
      <w:r w:rsidRPr="00631375">
        <w:rPr>
          <w:color w:val="404040" w:themeColor="text1" w:themeTint="BF"/>
        </w:rPr>
        <w:t>Greenleaf Biofuels, New Haven, CT</w:t>
      </w:r>
    </w:p>
    <w:p w14:paraId="07D3C3DA" w14:textId="77777777" w:rsidR="00780A05" w:rsidRPr="00631375" w:rsidRDefault="00780A05" w:rsidP="00780A05">
      <w:pPr>
        <w:widowControl w:val="0"/>
        <w:numPr>
          <w:ilvl w:val="0"/>
          <w:numId w:val="8"/>
        </w:numPr>
        <w:autoSpaceDE w:val="0"/>
        <w:autoSpaceDN w:val="0"/>
        <w:adjustRightInd w:val="0"/>
        <w:spacing w:after="0" w:line="300" w:lineRule="auto"/>
        <w:ind w:left="1170" w:hanging="810"/>
        <w:textAlignment w:val="center"/>
        <w:rPr>
          <w:color w:val="404040" w:themeColor="text1" w:themeTint="BF"/>
        </w:rPr>
      </w:pPr>
      <w:r w:rsidRPr="00631375">
        <w:rPr>
          <w:color w:val="404040" w:themeColor="text1" w:themeTint="BF"/>
        </w:rPr>
        <w:t>United Refining, Warren, PA (engg only)</w:t>
      </w:r>
    </w:p>
    <w:p w14:paraId="620D49C0" w14:textId="77777777" w:rsidR="00780A05" w:rsidRPr="00631375" w:rsidRDefault="00780A05" w:rsidP="00780A05">
      <w:pPr>
        <w:widowControl w:val="0"/>
        <w:numPr>
          <w:ilvl w:val="0"/>
          <w:numId w:val="8"/>
        </w:numPr>
        <w:autoSpaceDE w:val="0"/>
        <w:autoSpaceDN w:val="0"/>
        <w:adjustRightInd w:val="0"/>
        <w:spacing w:after="0" w:line="300" w:lineRule="auto"/>
        <w:ind w:left="1170" w:hanging="810"/>
        <w:textAlignment w:val="center"/>
        <w:rPr>
          <w:color w:val="404040" w:themeColor="text1" w:themeTint="BF"/>
        </w:rPr>
      </w:pPr>
      <w:r w:rsidRPr="00631375">
        <w:rPr>
          <w:color w:val="404040" w:themeColor="text1" w:themeTint="BF"/>
        </w:rPr>
        <w:t>Mid America Biofuels, North Platte, NE</w:t>
      </w:r>
    </w:p>
    <w:p w14:paraId="32D3367F" w14:textId="38999714" w:rsidR="00780A05" w:rsidRDefault="00780A05" w:rsidP="00780A05">
      <w:pPr>
        <w:widowControl w:val="0"/>
        <w:numPr>
          <w:ilvl w:val="0"/>
          <w:numId w:val="8"/>
        </w:numPr>
        <w:autoSpaceDE w:val="0"/>
        <w:autoSpaceDN w:val="0"/>
        <w:adjustRightInd w:val="0"/>
        <w:spacing w:after="0" w:line="300" w:lineRule="auto"/>
        <w:ind w:left="1170" w:hanging="810"/>
        <w:textAlignment w:val="center"/>
        <w:rPr>
          <w:color w:val="404040" w:themeColor="text1" w:themeTint="BF"/>
        </w:rPr>
      </w:pPr>
      <w:r w:rsidRPr="00631375">
        <w:rPr>
          <w:color w:val="404040" w:themeColor="text1" w:themeTint="BF"/>
        </w:rPr>
        <w:t>Patriot Ethanol, Annawan, IL</w:t>
      </w:r>
      <w:r>
        <w:rPr>
          <w:color w:val="404040" w:themeColor="text1" w:themeTint="BF"/>
        </w:rPr>
        <w:t xml:space="preserve"> </w:t>
      </w:r>
    </w:p>
    <w:p w14:paraId="2D596B49" w14:textId="5767330B" w:rsidR="00780A05" w:rsidRDefault="00780A05" w:rsidP="00780A05">
      <w:pPr>
        <w:widowControl w:val="0"/>
        <w:numPr>
          <w:ilvl w:val="0"/>
          <w:numId w:val="8"/>
        </w:numPr>
        <w:autoSpaceDE w:val="0"/>
        <w:autoSpaceDN w:val="0"/>
        <w:adjustRightInd w:val="0"/>
        <w:spacing w:after="0" w:line="300" w:lineRule="auto"/>
        <w:ind w:left="1170" w:hanging="810"/>
        <w:textAlignment w:val="center"/>
        <w:rPr>
          <w:color w:val="404040" w:themeColor="text1" w:themeTint="BF"/>
        </w:rPr>
      </w:pPr>
      <w:r>
        <w:rPr>
          <w:color w:val="404040" w:themeColor="text1" w:themeTint="BF"/>
        </w:rPr>
        <w:t xml:space="preserve">Calgren </w:t>
      </w:r>
      <w:r w:rsidR="00941425">
        <w:rPr>
          <w:color w:val="404040" w:themeColor="text1" w:themeTint="BF"/>
        </w:rPr>
        <w:t>Energy, Pixley, CA</w:t>
      </w:r>
    </w:p>
    <w:p w14:paraId="2D1E1EAA" w14:textId="60759FB2" w:rsidR="00941425" w:rsidRPr="00631375" w:rsidRDefault="00941425" w:rsidP="00780A05">
      <w:pPr>
        <w:widowControl w:val="0"/>
        <w:numPr>
          <w:ilvl w:val="0"/>
          <w:numId w:val="8"/>
        </w:numPr>
        <w:autoSpaceDE w:val="0"/>
        <w:autoSpaceDN w:val="0"/>
        <w:adjustRightInd w:val="0"/>
        <w:spacing w:after="0" w:line="300" w:lineRule="auto"/>
        <w:ind w:left="1170" w:hanging="810"/>
        <w:textAlignment w:val="center"/>
        <w:rPr>
          <w:color w:val="404040" w:themeColor="text1" w:themeTint="BF"/>
        </w:rPr>
      </w:pPr>
      <w:r>
        <w:rPr>
          <w:color w:val="404040" w:themeColor="text1" w:themeTint="BF"/>
        </w:rPr>
        <w:t>BioCalifornia, Los Angeles, CA (proposed, May 2018)</w:t>
      </w:r>
    </w:p>
    <w:p w14:paraId="6DA72F96" w14:textId="77777777" w:rsidR="00780A05" w:rsidRPr="00FD1EDE" w:rsidRDefault="00780A05" w:rsidP="00FD1EDE">
      <w:pPr>
        <w:tabs>
          <w:tab w:val="left" w:pos="900"/>
        </w:tabs>
        <w:spacing w:after="480" w:line="300" w:lineRule="auto"/>
        <w:rPr>
          <w:color w:val="000000" w:themeColor="text1"/>
          <w:sz w:val="20"/>
          <w:szCs w:val="20"/>
        </w:rPr>
      </w:pPr>
    </w:p>
    <w:sectPr w:rsidR="00780A05" w:rsidRPr="00FD1EDE" w:rsidSect="00C37948">
      <w:footerReference w:type="default" r:id="rId22"/>
      <w:pgSz w:w="12240" w:h="15840"/>
      <w:pgMar w:top="27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FD764" w14:textId="77777777" w:rsidR="00E10F4D" w:rsidRDefault="00E10F4D" w:rsidP="00D32E94">
      <w:pPr>
        <w:spacing w:after="0" w:line="240" w:lineRule="auto"/>
      </w:pPr>
      <w:r>
        <w:separator/>
      </w:r>
    </w:p>
  </w:endnote>
  <w:endnote w:type="continuationSeparator" w:id="0">
    <w:p w14:paraId="3BB931A9" w14:textId="77777777" w:rsidR="00E10F4D" w:rsidRDefault="00E10F4D" w:rsidP="00D3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55379"/>
      <w:docPartObj>
        <w:docPartGallery w:val="Page Numbers (Bottom of Page)"/>
        <w:docPartUnique/>
      </w:docPartObj>
    </w:sdtPr>
    <w:sdtEndPr>
      <w:rPr>
        <w:noProof/>
      </w:rPr>
    </w:sdtEndPr>
    <w:sdtContent>
      <w:p w14:paraId="6C5BDFAB" w14:textId="70740D02" w:rsidR="00BB7225" w:rsidRDefault="00BB7225">
        <w:pPr>
          <w:pStyle w:val="Footer"/>
          <w:jc w:val="center"/>
        </w:pPr>
        <w:r>
          <w:fldChar w:fldCharType="begin"/>
        </w:r>
        <w:r>
          <w:instrText xml:space="preserve"> PAGE   \* MERGEFORMAT </w:instrText>
        </w:r>
        <w:r>
          <w:fldChar w:fldCharType="separate"/>
        </w:r>
        <w:r w:rsidR="001D5A38">
          <w:rPr>
            <w:noProof/>
          </w:rPr>
          <w:t>5</w:t>
        </w:r>
        <w:r>
          <w:rPr>
            <w:noProof/>
          </w:rPr>
          <w:fldChar w:fldCharType="end"/>
        </w:r>
      </w:p>
    </w:sdtContent>
  </w:sdt>
  <w:p w14:paraId="1BA0A280" w14:textId="77777777" w:rsidR="00BB7225" w:rsidRDefault="00BB7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331CD" w14:textId="77777777" w:rsidR="00E10F4D" w:rsidRDefault="00E10F4D" w:rsidP="00D32E94">
      <w:pPr>
        <w:spacing w:after="0" w:line="240" w:lineRule="auto"/>
      </w:pPr>
      <w:r>
        <w:separator/>
      </w:r>
    </w:p>
  </w:footnote>
  <w:footnote w:type="continuationSeparator" w:id="0">
    <w:p w14:paraId="4591FDD1" w14:textId="77777777" w:rsidR="00E10F4D" w:rsidRDefault="00E10F4D" w:rsidP="00D32E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19B"/>
    <w:multiLevelType w:val="hybridMultilevel"/>
    <w:tmpl w:val="3D545486"/>
    <w:lvl w:ilvl="0" w:tplc="204A0AC4">
      <w:start w:val="80"/>
      <w:numFmt w:val="decimal"/>
      <w:lvlText w:val="%1"/>
      <w:lvlJc w:val="left"/>
      <w:pPr>
        <w:tabs>
          <w:tab w:val="num" w:pos="720"/>
        </w:tabs>
        <w:ind w:left="720" w:hanging="360"/>
      </w:pPr>
    </w:lvl>
    <w:lvl w:ilvl="1" w:tplc="4B289402" w:tentative="1">
      <w:start w:val="1"/>
      <w:numFmt w:val="decimal"/>
      <w:lvlText w:val="%2"/>
      <w:lvlJc w:val="left"/>
      <w:pPr>
        <w:tabs>
          <w:tab w:val="num" w:pos="1440"/>
        </w:tabs>
        <w:ind w:left="1440" w:hanging="360"/>
      </w:pPr>
    </w:lvl>
    <w:lvl w:ilvl="2" w:tplc="BA501124" w:tentative="1">
      <w:start w:val="1"/>
      <w:numFmt w:val="decimal"/>
      <w:lvlText w:val="%3"/>
      <w:lvlJc w:val="left"/>
      <w:pPr>
        <w:tabs>
          <w:tab w:val="num" w:pos="2160"/>
        </w:tabs>
        <w:ind w:left="2160" w:hanging="360"/>
      </w:pPr>
    </w:lvl>
    <w:lvl w:ilvl="3" w:tplc="E440E874" w:tentative="1">
      <w:start w:val="1"/>
      <w:numFmt w:val="decimal"/>
      <w:lvlText w:val="%4"/>
      <w:lvlJc w:val="left"/>
      <w:pPr>
        <w:tabs>
          <w:tab w:val="num" w:pos="2880"/>
        </w:tabs>
        <w:ind w:left="2880" w:hanging="360"/>
      </w:pPr>
    </w:lvl>
    <w:lvl w:ilvl="4" w:tplc="4AA88CEE" w:tentative="1">
      <w:start w:val="1"/>
      <w:numFmt w:val="decimal"/>
      <w:lvlText w:val="%5"/>
      <w:lvlJc w:val="left"/>
      <w:pPr>
        <w:tabs>
          <w:tab w:val="num" w:pos="3600"/>
        </w:tabs>
        <w:ind w:left="3600" w:hanging="360"/>
      </w:pPr>
    </w:lvl>
    <w:lvl w:ilvl="5" w:tplc="F378EA48" w:tentative="1">
      <w:start w:val="1"/>
      <w:numFmt w:val="decimal"/>
      <w:lvlText w:val="%6"/>
      <w:lvlJc w:val="left"/>
      <w:pPr>
        <w:tabs>
          <w:tab w:val="num" w:pos="4320"/>
        </w:tabs>
        <w:ind w:left="4320" w:hanging="360"/>
      </w:pPr>
    </w:lvl>
    <w:lvl w:ilvl="6" w:tplc="6CB4A2EE" w:tentative="1">
      <w:start w:val="1"/>
      <w:numFmt w:val="decimal"/>
      <w:lvlText w:val="%7"/>
      <w:lvlJc w:val="left"/>
      <w:pPr>
        <w:tabs>
          <w:tab w:val="num" w:pos="5040"/>
        </w:tabs>
        <w:ind w:left="5040" w:hanging="360"/>
      </w:pPr>
    </w:lvl>
    <w:lvl w:ilvl="7" w:tplc="01E611F8" w:tentative="1">
      <w:start w:val="1"/>
      <w:numFmt w:val="decimal"/>
      <w:lvlText w:val="%8"/>
      <w:lvlJc w:val="left"/>
      <w:pPr>
        <w:tabs>
          <w:tab w:val="num" w:pos="5760"/>
        </w:tabs>
        <w:ind w:left="5760" w:hanging="360"/>
      </w:pPr>
    </w:lvl>
    <w:lvl w:ilvl="8" w:tplc="C7801100" w:tentative="1">
      <w:start w:val="1"/>
      <w:numFmt w:val="decimal"/>
      <w:lvlText w:val="%9"/>
      <w:lvlJc w:val="left"/>
      <w:pPr>
        <w:tabs>
          <w:tab w:val="num" w:pos="6480"/>
        </w:tabs>
        <w:ind w:left="6480" w:hanging="360"/>
      </w:pPr>
    </w:lvl>
  </w:abstractNum>
  <w:abstractNum w:abstractNumId="1" w15:restartNumberingAfterBreak="0">
    <w:nsid w:val="0E0631CF"/>
    <w:multiLevelType w:val="hybridMultilevel"/>
    <w:tmpl w:val="FE60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347EE"/>
    <w:multiLevelType w:val="multilevel"/>
    <w:tmpl w:val="51FC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B1E82"/>
    <w:multiLevelType w:val="hybridMultilevel"/>
    <w:tmpl w:val="420E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C60BA"/>
    <w:multiLevelType w:val="hybridMultilevel"/>
    <w:tmpl w:val="0F92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3177E"/>
    <w:multiLevelType w:val="multilevel"/>
    <w:tmpl w:val="ED4E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697761"/>
    <w:multiLevelType w:val="hybridMultilevel"/>
    <w:tmpl w:val="218A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D90394"/>
    <w:multiLevelType w:val="hybridMultilevel"/>
    <w:tmpl w:val="FE5A519C"/>
    <w:lvl w:ilvl="0" w:tplc="FD6A5484">
      <w:start w:val="1"/>
      <w:numFmt w:val="lowerRoman"/>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5"/>
  </w:num>
  <w:num w:numId="2">
    <w:abstractNumId w:val="2"/>
  </w:num>
  <w:num w:numId="3">
    <w:abstractNumId w:val="6"/>
  </w:num>
  <w:num w:numId="4">
    <w:abstractNumId w:val="1"/>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28E"/>
    <w:rsid w:val="00023BBB"/>
    <w:rsid w:val="000268A9"/>
    <w:rsid w:val="00031597"/>
    <w:rsid w:val="00033C72"/>
    <w:rsid w:val="00035A15"/>
    <w:rsid w:val="00050D2C"/>
    <w:rsid w:val="00080159"/>
    <w:rsid w:val="000816E7"/>
    <w:rsid w:val="000873FD"/>
    <w:rsid w:val="00090C84"/>
    <w:rsid w:val="00091E2F"/>
    <w:rsid w:val="000A0642"/>
    <w:rsid w:val="000A6CDA"/>
    <w:rsid w:val="000A7A95"/>
    <w:rsid w:val="000C39FF"/>
    <w:rsid w:val="000D0284"/>
    <w:rsid w:val="000D0F75"/>
    <w:rsid w:val="000D1736"/>
    <w:rsid w:val="000D1B30"/>
    <w:rsid w:val="0012245C"/>
    <w:rsid w:val="001257A6"/>
    <w:rsid w:val="001302F6"/>
    <w:rsid w:val="00132B52"/>
    <w:rsid w:val="00134FD1"/>
    <w:rsid w:val="00137D77"/>
    <w:rsid w:val="001613B3"/>
    <w:rsid w:val="001616EB"/>
    <w:rsid w:val="0017174A"/>
    <w:rsid w:val="001768A1"/>
    <w:rsid w:val="0018067B"/>
    <w:rsid w:val="0018457B"/>
    <w:rsid w:val="001B586E"/>
    <w:rsid w:val="001D5A38"/>
    <w:rsid w:val="00204022"/>
    <w:rsid w:val="0020647D"/>
    <w:rsid w:val="00206839"/>
    <w:rsid w:val="002178D6"/>
    <w:rsid w:val="00233455"/>
    <w:rsid w:val="00246228"/>
    <w:rsid w:val="00261C88"/>
    <w:rsid w:val="002654F6"/>
    <w:rsid w:val="0027075C"/>
    <w:rsid w:val="00271D99"/>
    <w:rsid w:val="00294332"/>
    <w:rsid w:val="00297F4E"/>
    <w:rsid w:val="002A1F6C"/>
    <w:rsid w:val="002B5661"/>
    <w:rsid w:val="002C44A4"/>
    <w:rsid w:val="002D3CF1"/>
    <w:rsid w:val="003077E3"/>
    <w:rsid w:val="00310CE1"/>
    <w:rsid w:val="0031569C"/>
    <w:rsid w:val="003161F0"/>
    <w:rsid w:val="003304FC"/>
    <w:rsid w:val="00333D31"/>
    <w:rsid w:val="00337011"/>
    <w:rsid w:val="003471AA"/>
    <w:rsid w:val="00360681"/>
    <w:rsid w:val="00366745"/>
    <w:rsid w:val="003B7818"/>
    <w:rsid w:val="003C2512"/>
    <w:rsid w:val="003D0310"/>
    <w:rsid w:val="003D1AA4"/>
    <w:rsid w:val="003D2C29"/>
    <w:rsid w:val="003D66F8"/>
    <w:rsid w:val="003F0FFE"/>
    <w:rsid w:val="003F5924"/>
    <w:rsid w:val="00400937"/>
    <w:rsid w:val="0040149C"/>
    <w:rsid w:val="00401936"/>
    <w:rsid w:val="00412AC4"/>
    <w:rsid w:val="00412CF6"/>
    <w:rsid w:val="00415FE2"/>
    <w:rsid w:val="00436A3F"/>
    <w:rsid w:val="00443283"/>
    <w:rsid w:val="00480E2F"/>
    <w:rsid w:val="00481C28"/>
    <w:rsid w:val="004949BC"/>
    <w:rsid w:val="0049679F"/>
    <w:rsid w:val="004B400C"/>
    <w:rsid w:val="004F478E"/>
    <w:rsid w:val="00500CBD"/>
    <w:rsid w:val="00506524"/>
    <w:rsid w:val="00525326"/>
    <w:rsid w:val="005439A2"/>
    <w:rsid w:val="005447DA"/>
    <w:rsid w:val="00545415"/>
    <w:rsid w:val="005841C1"/>
    <w:rsid w:val="00584A79"/>
    <w:rsid w:val="005B572C"/>
    <w:rsid w:val="005C2A29"/>
    <w:rsid w:val="005E5FB4"/>
    <w:rsid w:val="005E69EC"/>
    <w:rsid w:val="00602F06"/>
    <w:rsid w:val="006100CE"/>
    <w:rsid w:val="00630128"/>
    <w:rsid w:val="00631C8F"/>
    <w:rsid w:val="00634E59"/>
    <w:rsid w:val="00643CA7"/>
    <w:rsid w:val="00665BA3"/>
    <w:rsid w:val="0068272F"/>
    <w:rsid w:val="006837A6"/>
    <w:rsid w:val="006837D0"/>
    <w:rsid w:val="0068719F"/>
    <w:rsid w:val="0069547C"/>
    <w:rsid w:val="00696C10"/>
    <w:rsid w:val="006A2E3D"/>
    <w:rsid w:val="006A5D8C"/>
    <w:rsid w:val="006B2655"/>
    <w:rsid w:val="006B5915"/>
    <w:rsid w:val="006D10E5"/>
    <w:rsid w:val="006D57CD"/>
    <w:rsid w:val="006E3152"/>
    <w:rsid w:val="006F393B"/>
    <w:rsid w:val="006F4418"/>
    <w:rsid w:val="00770307"/>
    <w:rsid w:val="00775DFC"/>
    <w:rsid w:val="00780A05"/>
    <w:rsid w:val="007950CC"/>
    <w:rsid w:val="007D17B8"/>
    <w:rsid w:val="007D3F6C"/>
    <w:rsid w:val="007F02E2"/>
    <w:rsid w:val="007F6312"/>
    <w:rsid w:val="00813472"/>
    <w:rsid w:val="008146A2"/>
    <w:rsid w:val="00821F21"/>
    <w:rsid w:val="00821F36"/>
    <w:rsid w:val="00823361"/>
    <w:rsid w:val="00842C60"/>
    <w:rsid w:val="00847FB6"/>
    <w:rsid w:val="008549B8"/>
    <w:rsid w:val="00864A30"/>
    <w:rsid w:val="00865EDA"/>
    <w:rsid w:val="00871595"/>
    <w:rsid w:val="00877399"/>
    <w:rsid w:val="008B4FA0"/>
    <w:rsid w:val="008C062E"/>
    <w:rsid w:val="008D3DEF"/>
    <w:rsid w:val="008D4C16"/>
    <w:rsid w:val="008F339C"/>
    <w:rsid w:val="009136BD"/>
    <w:rsid w:val="00924149"/>
    <w:rsid w:val="00924DA0"/>
    <w:rsid w:val="00931C9F"/>
    <w:rsid w:val="00933E88"/>
    <w:rsid w:val="00933FE4"/>
    <w:rsid w:val="00941425"/>
    <w:rsid w:val="009436D2"/>
    <w:rsid w:val="00945F83"/>
    <w:rsid w:val="00965CE9"/>
    <w:rsid w:val="0098036A"/>
    <w:rsid w:val="00981381"/>
    <w:rsid w:val="009D3F80"/>
    <w:rsid w:val="009F78BA"/>
    <w:rsid w:val="00A10A82"/>
    <w:rsid w:val="00A22653"/>
    <w:rsid w:val="00A61F80"/>
    <w:rsid w:val="00A663BA"/>
    <w:rsid w:val="00A73C9E"/>
    <w:rsid w:val="00AB50AF"/>
    <w:rsid w:val="00AC4B18"/>
    <w:rsid w:val="00AD012A"/>
    <w:rsid w:val="00AD3DE3"/>
    <w:rsid w:val="00AD415D"/>
    <w:rsid w:val="00AD469C"/>
    <w:rsid w:val="00AE3D8E"/>
    <w:rsid w:val="00AE7078"/>
    <w:rsid w:val="00AF0ABF"/>
    <w:rsid w:val="00B0127F"/>
    <w:rsid w:val="00B25ADF"/>
    <w:rsid w:val="00B30619"/>
    <w:rsid w:val="00B32122"/>
    <w:rsid w:val="00B4065D"/>
    <w:rsid w:val="00B5536E"/>
    <w:rsid w:val="00B56A69"/>
    <w:rsid w:val="00B56CC0"/>
    <w:rsid w:val="00B63EB1"/>
    <w:rsid w:val="00B71E8C"/>
    <w:rsid w:val="00B71E8F"/>
    <w:rsid w:val="00B7574A"/>
    <w:rsid w:val="00B92D56"/>
    <w:rsid w:val="00B94325"/>
    <w:rsid w:val="00B97BEE"/>
    <w:rsid w:val="00BB7225"/>
    <w:rsid w:val="00BC19D3"/>
    <w:rsid w:val="00BC324A"/>
    <w:rsid w:val="00BD234B"/>
    <w:rsid w:val="00BF00AE"/>
    <w:rsid w:val="00C066BD"/>
    <w:rsid w:val="00C242FB"/>
    <w:rsid w:val="00C3107F"/>
    <w:rsid w:val="00C37948"/>
    <w:rsid w:val="00C37B99"/>
    <w:rsid w:val="00C45AA2"/>
    <w:rsid w:val="00C529E5"/>
    <w:rsid w:val="00C53716"/>
    <w:rsid w:val="00C64109"/>
    <w:rsid w:val="00C86B46"/>
    <w:rsid w:val="00C92FFB"/>
    <w:rsid w:val="00C95D5F"/>
    <w:rsid w:val="00CB27CF"/>
    <w:rsid w:val="00CF5FC8"/>
    <w:rsid w:val="00D32E94"/>
    <w:rsid w:val="00D40F19"/>
    <w:rsid w:val="00D55D5C"/>
    <w:rsid w:val="00D644BE"/>
    <w:rsid w:val="00D67657"/>
    <w:rsid w:val="00D701DB"/>
    <w:rsid w:val="00D702E1"/>
    <w:rsid w:val="00D8722C"/>
    <w:rsid w:val="00DA04CC"/>
    <w:rsid w:val="00DB0D0D"/>
    <w:rsid w:val="00DB23BC"/>
    <w:rsid w:val="00DC2F58"/>
    <w:rsid w:val="00DD080D"/>
    <w:rsid w:val="00DF0FAC"/>
    <w:rsid w:val="00E01EDD"/>
    <w:rsid w:val="00E10F4D"/>
    <w:rsid w:val="00E21D50"/>
    <w:rsid w:val="00E30B50"/>
    <w:rsid w:val="00E43571"/>
    <w:rsid w:val="00E44144"/>
    <w:rsid w:val="00E44D19"/>
    <w:rsid w:val="00E47828"/>
    <w:rsid w:val="00E508DE"/>
    <w:rsid w:val="00E648CE"/>
    <w:rsid w:val="00E8028E"/>
    <w:rsid w:val="00EA1EDF"/>
    <w:rsid w:val="00EB0BC4"/>
    <w:rsid w:val="00EB0F8F"/>
    <w:rsid w:val="00EC1E03"/>
    <w:rsid w:val="00EE4A78"/>
    <w:rsid w:val="00EE5AD0"/>
    <w:rsid w:val="00EF13D3"/>
    <w:rsid w:val="00EF4558"/>
    <w:rsid w:val="00F02F75"/>
    <w:rsid w:val="00F052C7"/>
    <w:rsid w:val="00F25B0C"/>
    <w:rsid w:val="00F3202C"/>
    <w:rsid w:val="00F41D87"/>
    <w:rsid w:val="00F42216"/>
    <w:rsid w:val="00F4434D"/>
    <w:rsid w:val="00F45569"/>
    <w:rsid w:val="00F63583"/>
    <w:rsid w:val="00F770E3"/>
    <w:rsid w:val="00F776A4"/>
    <w:rsid w:val="00FC1051"/>
    <w:rsid w:val="00FC7C52"/>
    <w:rsid w:val="00FD05BC"/>
    <w:rsid w:val="00FD1EDE"/>
    <w:rsid w:val="00FE1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B1988"/>
  <w15:chartTrackingRefBased/>
  <w15:docId w15:val="{40B7BE22-A3DD-48F3-B928-49FE034F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F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1F6C"/>
    <w:rPr>
      <w:color w:val="0000FF"/>
      <w:u w:val="single"/>
    </w:rPr>
  </w:style>
  <w:style w:type="paragraph" w:styleId="ListParagraph">
    <w:name w:val="List Paragraph"/>
    <w:basedOn w:val="Normal"/>
    <w:uiPriority w:val="34"/>
    <w:qFormat/>
    <w:rsid w:val="0018457B"/>
    <w:pPr>
      <w:ind w:left="720"/>
      <w:contextualSpacing/>
    </w:pPr>
  </w:style>
  <w:style w:type="paragraph" w:styleId="Header">
    <w:name w:val="header"/>
    <w:basedOn w:val="Normal"/>
    <w:link w:val="HeaderChar"/>
    <w:uiPriority w:val="99"/>
    <w:unhideWhenUsed/>
    <w:rsid w:val="00D3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E94"/>
  </w:style>
  <w:style w:type="paragraph" w:styleId="Footer">
    <w:name w:val="footer"/>
    <w:basedOn w:val="Normal"/>
    <w:link w:val="FooterChar"/>
    <w:uiPriority w:val="99"/>
    <w:unhideWhenUsed/>
    <w:rsid w:val="00D3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E94"/>
  </w:style>
  <w:style w:type="paragraph" w:styleId="FootnoteText">
    <w:name w:val="footnote text"/>
    <w:basedOn w:val="Normal"/>
    <w:link w:val="FootnoteTextChar"/>
    <w:uiPriority w:val="99"/>
    <w:semiHidden/>
    <w:unhideWhenUsed/>
    <w:rsid w:val="002707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075C"/>
    <w:rPr>
      <w:sz w:val="20"/>
      <w:szCs w:val="20"/>
    </w:rPr>
  </w:style>
  <w:style w:type="character" w:styleId="FootnoteReference">
    <w:name w:val="footnote reference"/>
    <w:basedOn w:val="DefaultParagraphFont"/>
    <w:uiPriority w:val="99"/>
    <w:semiHidden/>
    <w:unhideWhenUsed/>
    <w:rsid w:val="0027075C"/>
    <w:rPr>
      <w:vertAlign w:val="superscript"/>
    </w:rPr>
  </w:style>
  <w:style w:type="character" w:customStyle="1" w:styleId="st">
    <w:name w:val="st"/>
    <w:basedOn w:val="DefaultParagraphFont"/>
    <w:rsid w:val="0027075C"/>
  </w:style>
  <w:style w:type="paragraph" w:styleId="BalloonText">
    <w:name w:val="Balloon Text"/>
    <w:basedOn w:val="Normal"/>
    <w:link w:val="BalloonTextChar"/>
    <w:uiPriority w:val="99"/>
    <w:semiHidden/>
    <w:unhideWhenUsed/>
    <w:rsid w:val="00C24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2FB"/>
    <w:rPr>
      <w:rFonts w:ascii="Segoe UI" w:hAnsi="Segoe UI" w:cs="Segoe UI"/>
      <w:sz w:val="18"/>
      <w:szCs w:val="18"/>
    </w:rPr>
  </w:style>
  <w:style w:type="table" w:styleId="GridTable1Light-Accent6">
    <w:name w:val="Grid Table 1 Light Accent 6"/>
    <w:basedOn w:val="TableNormal"/>
    <w:uiPriority w:val="46"/>
    <w:rsid w:val="0018067B"/>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8067B"/>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18067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2273">
      <w:bodyDiv w:val="1"/>
      <w:marLeft w:val="0"/>
      <w:marRight w:val="0"/>
      <w:marTop w:val="0"/>
      <w:marBottom w:val="0"/>
      <w:divBdr>
        <w:top w:val="none" w:sz="0" w:space="0" w:color="auto"/>
        <w:left w:val="none" w:sz="0" w:space="0" w:color="auto"/>
        <w:bottom w:val="none" w:sz="0" w:space="0" w:color="auto"/>
        <w:right w:val="none" w:sz="0" w:space="0" w:color="auto"/>
      </w:divBdr>
      <w:divsChild>
        <w:div w:id="293561789">
          <w:marLeft w:val="0"/>
          <w:marRight w:val="0"/>
          <w:marTop w:val="0"/>
          <w:marBottom w:val="0"/>
          <w:divBdr>
            <w:top w:val="none" w:sz="0" w:space="0" w:color="auto"/>
            <w:left w:val="none" w:sz="0" w:space="0" w:color="auto"/>
            <w:bottom w:val="none" w:sz="0" w:space="0" w:color="auto"/>
            <w:right w:val="none" w:sz="0" w:space="0" w:color="auto"/>
          </w:divBdr>
        </w:div>
        <w:div w:id="1682584933">
          <w:marLeft w:val="0"/>
          <w:marRight w:val="0"/>
          <w:marTop w:val="0"/>
          <w:marBottom w:val="0"/>
          <w:divBdr>
            <w:top w:val="none" w:sz="0" w:space="0" w:color="auto"/>
            <w:left w:val="none" w:sz="0" w:space="0" w:color="auto"/>
            <w:bottom w:val="none" w:sz="0" w:space="0" w:color="auto"/>
            <w:right w:val="none" w:sz="0" w:space="0" w:color="auto"/>
          </w:divBdr>
          <w:divsChild>
            <w:div w:id="114107477">
              <w:marLeft w:val="0"/>
              <w:marRight w:val="0"/>
              <w:marTop w:val="0"/>
              <w:marBottom w:val="0"/>
              <w:divBdr>
                <w:top w:val="none" w:sz="0" w:space="0" w:color="auto"/>
                <w:left w:val="none" w:sz="0" w:space="0" w:color="auto"/>
                <w:bottom w:val="none" w:sz="0" w:space="0" w:color="auto"/>
                <w:right w:val="none" w:sz="0" w:space="0" w:color="auto"/>
              </w:divBdr>
              <w:divsChild>
                <w:div w:id="3079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357536">
      <w:bodyDiv w:val="1"/>
      <w:marLeft w:val="0"/>
      <w:marRight w:val="0"/>
      <w:marTop w:val="0"/>
      <w:marBottom w:val="0"/>
      <w:divBdr>
        <w:top w:val="none" w:sz="0" w:space="0" w:color="auto"/>
        <w:left w:val="none" w:sz="0" w:space="0" w:color="auto"/>
        <w:bottom w:val="none" w:sz="0" w:space="0" w:color="auto"/>
        <w:right w:val="none" w:sz="0" w:space="0" w:color="auto"/>
      </w:divBdr>
    </w:div>
    <w:div w:id="1377312946">
      <w:bodyDiv w:val="1"/>
      <w:marLeft w:val="0"/>
      <w:marRight w:val="0"/>
      <w:marTop w:val="0"/>
      <w:marBottom w:val="0"/>
      <w:divBdr>
        <w:top w:val="none" w:sz="0" w:space="0" w:color="auto"/>
        <w:left w:val="none" w:sz="0" w:space="0" w:color="auto"/>
        <w:bottom w:val="none" w:sz="0" w:space="0" w:color="auto"/>
        <w:right w:val="none" w:sz="0" w:space="0" w:color="auto"/>
      </w:divBdr>
    </w:div>
    <w:div w:id="1701315883">
      <w:bodyDiv w:val="1"/>
      <w:marLeft w:val="0"/>
      <w:marRight w:val="0"/>
      <w:marTop w:val="0"/>
      <w:marBottom w:val="0"/>
      <w:divBdr>
        <w:top w:val="none" w:sz="0" w:space="0" w:color="auto"/>
        <w:left w:val="none" w:sz="0" w:space="0" w:color="auto"/>
        <w:bottom w:val="none" w:sz="0" w:space="0" w:color="auto"/>
        <w:right w:val="none" w:sz="0" w:space="0" w:color="auto"/>
      </w:divBdr>
    </w:div>
    <w:div w:id="191924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Relationship Id="rId13" Type="http://schemas.openxmlformats.org/officeDocument/2006/relationships/diagramData" Target="diagrams/data1.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endnotes" Target="endnotes.xml"/><Relationship Id="rId12" Type="http://schemas.openxmlformats.org/officeDocument/2006/relationships/image" Target="media/image5.jp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image" Target="media/image3.jpe"/><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Margin Analysis w/LCFS (California)</a:t>
            </a:r>
          </a:p>
        </c:rich>
      </c:tx>
      <c:layout>
        <c:manualLayout>
          <c:xMode val="edge"/>
          <c:yMode val="edge"/>
          <c:x val="0.2515421629988559"/>
          <c:y val="3.826492433126711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 Diesel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extLst>
                <c:ext xmlns:c15="http://schemas.microsoft.com/office/drawing/2012/chart" uri="{02D57815-91ED-43cb-92C2-25804820EDAC}">
                  <c15:fullRef>
                    <c15:sqref>Sheet1!$A$2:$A$12</c15:sqref>
                  </c15:fullRef>
                </c:ext>
              </c:extLst>
              <c:f>(Sheet1!$A$2,Sheet1!$A$4,Sheet1!$A$6,Sheet1!$A$8,Sheet1!$A$10,Sheet1!$A$12)</c:f>
              <c:strCache>
                <c:ptCount val="6"/>
                <c:pt idx="0">
                  <c:v>4th Qtr 16</c:v>
                </c:pt>
                <c:pt idx="1">
                  <c:v>1st Qtr 17</c:v>
                </c:pt>
                <c:pt idx="2">
                  <c:v>2nd Qtr 17</c:v>
                </c:pt>
                <c:pt idx="3">
                  <c:v>3rd Qtr 17</c:v>
                </c:pt>
                <c:pt idx="4">
                  <c:v>4th Qtr 17</c:v>
                </c:pt>
                <c:pt idx="5">
                  <c:v>1st Qtr 18</c:v>
                </c:pt>
              </c:strCache>
            </c:strRef>
          </c:cat>
          <c:val>
            <c:numRef>
              <c:extLst>
                <c:ext xmlns:c15="http://schemas.microsoft.com/office/drawing/2012/chart" uri="{02D57815-91ED-43cb-92C2-25804820EDAC}">
                  <c15:fullRef>
                    <c15:sqref>Sheet1!$B$2:$B$12</c15:sqref>
                  </c15:fullRef>
                </c:ext>
              </c:extLst>
              <c:f>(Sheet1!$B$2,Sheet1!$B$4,Sheet1!$B$6,Sheet1!$B$8,Sheet1!$B$10,Sheet1!$B$12)</c:f>
              <c:numCache>
                <c:formatCode>0.00</c:formatCode>
                <c:ptCount val="6"/>
                <c:pt idx="0">
                  <c:v>1.5</c:v>
                </c:pt>
                <c:pt idx="1">
                  <c:v>1.66</c:v>
                </c:pt>
                <c:pt idx="2">
                  <c:v>1.45</c:v>
                </c:pt>
                <c:pt idx="3">
                  <c:v>1.52</c:v>
                </c:pt>
                <c:pt idx="4">
                  <c:v>1.83</c:v>
                </c:pt>
                <c:pt idx="5">
                  <c:v>2.02</c:v>
                </c:pt>
              </c:numCache>
            </c:numRef>
          </c:val>
          <c:extLst>
            <c:ext xmlns:c16="http://schemas.microsoft.com/office/drawing/2014/chart" uri="{C3380CC4-5D6E-409C-BE32-E72D297353CC}">
              <c16:uniqueId val="{00000000-F173-42B2-A251-BA8D7E25660F}"/>
            </c:ext>
          </c:extLst>
        </c:ser>
        <c:ser>
          <c:idx val="1"/>
          <c:order val="1"/>
          <c:tx>
            <c:strRef>
              <c:f>Sheet1!$C$1</c:f>
              <c:strCache>
                <c:ptCount val="1"/>
                <c:pt idx="0">
                  <c:v>Crude bbl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extLst>
                <c:ext xmlns:c15="http://schemas.microsoft.com/office/drawing/2012/chart" uri="{02D57815-91ED-43cb-92C2-25804820EDAC}">
                  <c15:fullRef>
                    <c15:sqref>Sheet1!$A$2:$A$12</c15:sqref>
                  </c15:fullRef>
                </c:ext>
              </c:extLst>
              <c:f>(Sheet1!$A$2,Sheet1!$A$4,Sheet1!$A$6,Sheet1!$A$8,Sheet1!$A$10,Sheet1!$A$12)</c:f>
              <c:strCache>
                <c:ptCount val="6"/>
                <c:pt idx="0">
                  <c:v>4th Qtr 16</c:v>
                </c:pt>
                <c:pt idx="1">
                  <c:v>1st Qtr 17</c:v>
                </c:pt>
                <c:pt idx="2">
                  <c:v>2nd Qtr 17</c:v>
                </c:pt>
                <c:pt idx="3">
                  <c:v>3rd Qtr 17</c:v>
                </c:pt>
                <c:pt idx="4">
                  <c:v>4th Qtr 17</c:v>
                </c:pt>
                <c:pt idx="5">
                  <c:v>1st Qtr 18</c:v>
                </c:pt>
              </c:strCache>
            </c:strRef>
          </c:cat>
          <c:val>
            <c:numRef>
              <c:extLst>
                <c:ext xmlns:c15="http://schemas.microsoft.com/office/drawing/2012/chart" uri="{02D57815-91ED-43cb-92C2-25804820EDAC}">
                  <c15:fullRef>
                    <c15:sqref>Sheet1!$C$2:$C$12</c15:sqref>
                  </c15:fullRef>
                </c:ext>
              </c:extLst>
              <c:f>(Sheet1!$C$2,Sheet1!$C$4,Sheet1!$C$6,Sheet1!$C$8,Sheet1!$C$10,Sheet1!$C$12)</c:f>
              <c:numCache>
                <c:formatCode>0.00</c:formatCode>
                <c:ptCount val="6"/>
              </c:numCache>
            </c:numRef>
          </c:val>
          <c:extLst>
            <c:ext xmlns:c16="http://schemas.microsoft.com/office/drawing/2014/chart" uri="{C3380CC4-5D6E-409C-BE32-E72D297353CC}">
              <c16:uniqueId val="{00000001-F173-42B2-A251-BA8D7E25660F}"/>
            </c:ext>
          </c:extLst>
        </c:ser>
        <c:ser>
          <c:idx val="2"/>
          <c:order val="2"/>
          <c:tx>
            <c:strRef>
              <c:f>Sheet1!$D$1</c:f>
              <c:strCache>
                <c:ptCount val="1"/>
                <c:pt idx="0">
                  <c:v>HO</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extLst>
                <c:ext xmlns:c15="http://schemas.microsoft.com/office/drawing/2012/chart" uri="{02D57815-91ED-43cb-92C2-25804820EDAC}">
                  <c15:fullRef>
                    <c15:sqref>Sheet1!$A$2:$A$12</c15:sqref>
                  </c15:fullRef>
                </c:ext>
              </c:extLst>
              <c:f>(Sheet1!$A$2,Sheet1!$A$4,Sheet1!$A$6,Sheet1!$A$8,Sheet1!$A$10,Sheet1!$A$12)</c:f>
              <c:strCache>
                <c:ptCount val="6"/>
                <c:pt idx="0">
                  <c:v>4th Qtr 16</c:v>
                </c:pt>
                <c:pt idx="1">
                  <c:v>1st Qtr 17</c:v>
                </c:pt>
                <c:pt idx="2">
                  <c:v>2nd Qtr 17</c:v>
                </c:pt>
                <c:pt idx="3">
                  <c:v>3rd Qtr 17</c:v>
                </c:pt>
                <c:pt idx="4">
                  <c:v>4th Qtr 17</c:v>
                </c:pt>
                <c:pt idx="5">
                  <c:v>1st Qtr 18</c:v>
                </c:pt>
              </c:strCache>
            </c:strRef>
          </c:cat>
          <c:val>
            <c:numRef>
              <c:extLst>
                <c:ext xmlns:c15="http://schemas.microsoft.com/office/drawing/2012/chart" uri="{02D57815-91ED-43cb-92C2-25804820EDAC}">
                  <c15:fullRef>
                    <c15:sqref>Sheet1!$D$2:$D$12</c15:sqref>
                  </c15:fullRef>
                </c:ext>
              </c:extLst>
              <c:f>(Sheet1!$D$2,Sheet1!$D$4,Sheet1!$D$6,Sheet1!$D$8,Sheet1!$D$10,Sheet1!$D$12)</c:f>
              <c:numCache>
                <c:formatCode>0.00</c:formatCode>
                <c:ptCount val="6"/>
                <c:pt idx="0">
                  <c:v>1.47446875</c:v>
                </c:pt>
                <c:pt idx="1">
                  <c:v>1.63</c:v>
                </c:pt>
                <c:pt idx="2">
                  <c:v>1.4348124999999998</c:v>
                </c:pt>
                <c:pt idx="3">
                  <c:v>1.52</c:v>
                </c:pt>
                <c:pt idx="4">
                  <c:v>1.7951718750000003</c:v>
                </c:pt>
                <c:pt idx="5">
                  <c:v>1.9792068965517247</c:v>
                </c:pt>
              </c:numCache>
            </c:numRef>
          </c:val>
          <c:extLst>
            <c:ext xmlns:c16="http://schemas.microsoft.com/office/drawing/2014/chart" uri="{C3380CC4-5D6E-409C-BE32-E72D297353CC}">
              <c16:uniqueId val="{00000002-F173-42B2-A251-BA8D7E25660F}"/>
            </c:ext>
          </c:extLst>
        </c:ser>
        <c:ser>
          <c:idx val="3"/>
          <c:order val="3"/>
          <c:tx>
            <c:strRef>
              <c:f>Sheet1!$E$1</c:f>
              <c:strCache>
                <c:ptCount val="1"/>
                <c:pt idx="0">
                  <c:v>RINs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extLst>
                <c:ext xmlns:c15="http://schemas.microsoft.com/office/drawing/2012/chart" uri="{02D57815-91ED-43cb-92C2-25804820EDAC}">
                  <c15:fullRef>
                    <c15:sqref>Sheet1!$A$2:$A$12</c15:sqref>
                  </c15:fullRef>
                </c:ext>
              </c:extLst>
              <c:f>(Sheet1!$A$2,Sheet1!$A$4,Sheet1!$A$6,Sheet1!$A$8,Sheet1!$A$10,Sheet1!$A$12)</c:f>
              <c:strCache>
                <c:ptCount val="6"/>
                <c:pt idx="0">
                  <c:v>4th Qtr 16</c:v>
                </c:pt>
                <c:pt idx="1">
                  <c:v>1st Qtr 17</c:v>
                </c:pt>
                <c:pt idx="2">
                  <c:v>2nd Qtr 17</c:v>
                </c:pt>
                <c:pt idx="3">
                  <c:v>3rd Qtr 17</c:v>
                </c:pt>
                <c:pt idx="4">
                  <c:v>4th Qtr 17</c:v>
                </c:pt>
                <c:pt idx="5">
                  <c:v>1st Qtr 18</c:v>
                </c:pt>
              </c:strCache>
            </c:strRef>
          </c:cat>
          <c:val>
            <c:numRef>
              <c:extLst>
                <c:ext xmlns:c15="http://schemas.microsoft.com/office/drawing/2012/chart" uri="{02D57815-91ED-43cb-92C2-25804820EDAC}">
                  <c15:fullRef>
                    <c15:sqref>Sheet1!$E$14:$E$24</c15:sqref>
                  </c15:fullRef>
                </c:ext>
              </c:extLst>
              <c:f>(Sheet1!$E$14,Sheet1!$E$16,Sheet1!$E$18,Sheet1!$E$20,Sheet1!$E$22,Sheet1!$E$24)</c:f>
              <c:numCache>
                <c:formatCode>0.00</c:formatCode>
                <c:ptCount val="6"/>
                <c:pt idx="0">
                  <c:v>1.72</c:v>
                </c:pt>
                <c:pt idx="1">
                  <c:v>1.33</c:v>
                </c:pt>
                <c:pt idx="2">
                  <c:v>1.0900000000000001</c:v>
                </c:pt>
                <c:pt idx="3">
                  <c:v>1.1100000000000001</c:v>
                </c:pt>
                <c:pt idx="4">
                  <c:v>1.44</c:v>
                </c:pt>
                <c:pt idx="5">
                  <c:v>1.17</c:v>
                </c:pt>
              </c:numCache>
            </c:numRef>
          </c:val>
          <c:extLst>
            <c:ext xmlns:c16="http://schemas.microsoft.com/office/drawing/2014/chart" uri="{C3380CC4-5D6E-409C-BE32-E72D297353CC}">
              <c16:uniqueId val="{00000003-F173-42B2-A251-BA8D7E25660F}"/>
            </c:ext>
          </c:extLst>
        </c:ser>
        <c:ser>
          <c:idx val="4"/>
          <c:order val="4"/>
          <c:tx>
            <c:strRef>
              <c:f>Sheet1!$F$1</c:f>
              <c:strCache>
                <c:ptCount val="1"/>
                <c:pt idx="0">
                  <c:v>LCFS @ 22CO2e/MJ (CI = 22)</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extLst>
                <c:ext xmlns:c15="http://schemas.microsoft.com/office/drawing/2012/chart" uri="{02D57815-91ED-43cb-92C2-25804820EDAC}">
                  <c15:fullRef>
                    <c15:sqref>Sheet1!$A$2:$A$12</c15:sqref>
                  </c15:fullRef>
                </c:ext>
              </c:extLst>
              <c:f>(Sheet1!$A$2,Sheet1!$A$4,Sheet1!$A$6,Sheet1!$A$8,Sheet1!$A$10,Sheet1!$A$12)</c:f>
              <c:strCache>
                <c:ptCount val="6"/>
                <c:pt idx="0">
                  <c:v>4th Qtr 16</c:v>
                </c:pt>
                <c:pt idx="1">
                  <c:v>1st Qtr 17</c:v>
                </c:pt>
                <c:pt idx="2">
                  <c:v>2nd Qtr 17</c:v>
                </c:pt>
                <c:pt idx="3">
                  <c:v>3rd Qtr 17</c:v>
                </c:pt>
                <c:pt idx="4">
                  <c:v>4th Qtr 17</c:v>
                </c:pt>
                <c:pt idx="5">
                  <c:v>1st Qtr 18</c:v>
                </c:pt>
              </c:strCache>
            </c:strRef>
          </c:cat>
          <c:val>
            <c:numRef>
              <c:extLst>
                <c:ext xmlns:c15="http://schemas.microsoft.com/office/drawing/2012/chart" uri="{02D57815-91ED-43cb-92C2-25804820EDAC}">
                  <c15:fullRef>
                    <c15:sqref>Sheet1!$F$2:$F$12</c15:sqref>
                  </c15:fullRef>
                </c:ext>
              </c:extLst>
              <c:f>(Sheet1!$F$2,Sheet1!$F$4,Sheet1!$F$6,Sheet1!$F$8,Sheet1!$F$10,Sheet1!$F$12)</c:f>
              <c:numCache>
                <c:formatCode>0.00</c:formatCode>
                <c:ptCount val="6"/>
                <c:pt idx="0">
                  <c:v>0.92</c:v>
                </c:pt>
                <c:pt idx="1">
                  <c:v>0.94</c:v>
                </c:pt>
                <c:pt idx="2">
                  <c:v>0.78</c:v>
                </c:pt>
                <c:pt idx="3">
                  <c:v>0.74</c:v>
                </c:pt>
                <c:pt idx="4">
                  <c:v>0.88</c:v>
                </c:pt>
                <c:pt idx="5">
                  <c:v>1.44</c:v>
                </c:pt>
              </c:numCache>
            </c:numRef>
          </c:val>
          <c:extLst>
            <c:ext xmlns:c16="http://schemas.microsoft.com/office/drawing/2014/chart" uri="{C3380CC4-5D6E-409C-BE32-E72D297353CC}">
              <c16:uniqueId val="{00000004-F173-42B2-A251-BA8D7E25660F}"/>
            </c:ext>
          </c:extLst>
        </c:ser>
        <c:ser>
          <c:idx val="5"/>
          <c:order val="5"/>
          <c:tx>
            <c:strRef>
              <c:f>Sheet1!$G$1</c:f>
              <c:strCache>
                <c:ptCount val="1"/>
                <c:pt idx="0">
                  <c:v>Feedstock/gal</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5.8780313130904656E-3"/>
                  <c:y val="-2.58899647053866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173-42B2-A251-BA8D7E25660F}"/>
                </c:ext>
              </c:extLst>
            </c:dLbl>
            <c:dLbl>
              <c:idx val="1"/>
              <c:layout>
                <c:manualLayout>
                  <c:x val="5.8780313130904838E-3"/>
                  <c:y val="-2.30133019603437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173-42B2-A251-BA8D7E25660F}"/>
                </c:ext>
              </c:extLst>
            </c:dLbl>
            <c:dLbl>
              <c:idx val="2"/>
              <c:layout>
                <c:manualLayout>
                  <c:x val="1.9593437710301613E-3"/>
                  <c:y val="-2.58899647053866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173-42B2-A251-BA8D7E25660F}"/>
                </c:ext>
              </c:extLst>
            </c:dLbl>
            <c:dLbl>
              <c:idx val="3"/>
              <c:layout>
                <c:manualLayout>
                  <c:x val="-7.1841775015457102E-17"/>
                  <c:y val="-2.87666274504296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173-42B2-A251-BA8D7E25660F}"/>
                </c:ext>
              </c:extLst>
            </c:dLbl>
            <c:dLbl>
              <c:idx val="4"/>
              <c:layout>
                <c:manualLayout>
                  <c:x val="0"/>
                  <c:y val="-3.45199529405155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173-42B2-A251-BA8D7E25660F}"/>
                </c:ext>
              </c:extLst>
            </c:dLbl>
            <c:dLbl>
              <c:idx val="5"/>
              <c:layout>
                <c:manualLayout>
                  <c:x val="5.8780313130904838E-3"/>
                  <c:y val="-2.87666274504297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173-42B2-A251-BA8D7E2566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Sheet1!$A$2:$A$12</c15:sqref>
                  </c15:fullRef>
                </c:ext>
              </c:extLst>
              <c:f>(Sheet1!$A$2,Sheet1!$A$4,Sheet1!$A$6,Sheet1!$A$8,Sheet1!$A$10,Sheet1!$A$12)</c:f>
              <c:strCache>
                <c:ptCount val="6"/>
                <c:pt idx="0">
                  <c:v>4th Qtr 16</c:v>
                </c:pt>
                <c:pt idx="1">
                  <c:v>1st Qtr 17</c:v>
                </c:pt>
                <c:pt idx="2">
                  <c:v>2nd Qtr 17</c:v>
                </c:pt>
                <c:pt idx="3">
                  <c:v>3rd Qtr 17</c:v>
                </c:pt>
                <c:pt idx="4">
                  <c:v>4th Qtr 17</c:v>
                </c:pt>
                <c:pt idx="5">
                  <c:v>1st Qtr 18</c:v>
                </c:pt>
              </c:strCache>
            </c:strRef>
          </c:cat>
          <c:val>
            <c:numRef>
              <c:extLst>
                <c:ext xmlns:c15="http://schemas.microsoft.com/office/drawing/2012/chart" uri="{02D57815-91ED-43cb-92C2-25804820EDAC}">
                  <c15:fullRef>
                    <c15:sqref>Sheet1!$G$2:$G$12</c15:sqref>
                  </c15:fullRef>
                </c:ext>
              </c:extLst>
              <c:f>(Sheet1!$G$2,Sheet1!$G$4,Sheet1!$G$6,Sheet1!$G$8,Sheet1!$G$10,Sheet1!$G$12)</c:f>
              <c:numCache>
                <c:formatCode>0.00</c:formatCode>
                <c:ptCount val="6"/>
                <c:pt idx="0">
                  <c:v>0.90599999999999992</c:v>
                </c:pt>
                <c:pt idx="1">
                  <c:v>0.67949999999999999</c:v>
                </c:pt>
                <c:pt idx="2">
                  <c:v>0.67949999999999999</c:v>
                </c:pt>
                <c:pt idx="3">
                  <c:v>0.755</c:v>
                </c:pt>
                <c:pt idx="4">
                  <c:v>0.83050000000000002</c:v>
                </c:pt>
                <c:pt idx="5">
                  <c:v>0.67949999999999999</c:v>
                </c:pt>
              </c:numCache>
            </c:numRef>
          </c:val>
          <c:extLst>
            <c:ext xmlns:c16="http://schemas.microsoft.com/office/drawing/2014/chart" uri="{C3380CC4-5D6E-409C-BE32-E72D297353CC}">
              <c16:uniqueId val="{0000000B-F173-42B2-A251-BA8D7E25660F}"/>
            </c:ext>
          </c:extLst>
        </c:ser>
        <c:ser>
          <c:idx val="6"/>
          <c:order val="6"/>
          <c:tx>
            <c:strRef>
              <c:f>Sheet1!$H$1</c:f>
              <c:strCache>
                <c:ptCount val="1"/>
                <c:pt idx="0">
                  <c:v>Production and G&amp;A</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extLst>
                <c:ext xmlns:c15="http://schemas.microsoft.com/office/drawing/2012/chart" uri="{02D57815-91ED-43cb-92C2-25804820EDAC}">
                  <c15:fullRef>
                    <c15:sqref>Sheet1!$A$2:$A$12</c15:sqref>
                  </c15:fullRef>
                </c:ext>
              </c:extLst>
              <c:f>(Sheet1!$A$2,Sheet1!$A$4,Sheet1!$A$6,Sheet1!$A$8,Sheet1!$A$10,Sheet1!$A$12)</c:f>
              <c:strCache>
                <c:ptCount val="6"/>
                <c:pt idx="0">
                  <c:v>4th Qtr 16</c:v>
                </c:pt>
                <c:pt idx="1">
                  <c:v>1st Qtr 17</c:v>
                </c:pt>
                <c:pt idx="2">
                  <c:v>2nd Qtr 17</c:v>
                </c:pt>
                <c:pt idx="3">
                  <c:v>3rd Qtr 17</c:v>
                </c:pt>
                <c:pt idx="4">
                  <c:v>4th Qtr 17</c:v>
                </c:pt>
                <c:pt idx="5">
                  <c:v>1st Qtr 18</c:v>
                </c:pt>
              </c:strCache>
            </c:strRef>
          </c:cat>
          <c:val>
            <c:numRef>
              <c:extLst>
                <c:ext xmlns:c15="http://schemas.microsoft.com/office/drawing/2012/chart" uri="{02D57815-91ED-43cb-92C2-25804820EDAC}">
                  <c15:fullRef>
                    <c15:sqref>Sheet1!$H$2:$H$12</c15:sqref>
                  </c15:fullRef>
                </c:ext>
              </c:extLst>
              <c:f>(Sheet1!$H$2,Sheet1!$H$4,Sheet1!$H$6,Sheet1!$H$8,Sheet1!$H$10,Sheet1!$H$12)</c:f>
              <c:numCache>
                <c:formatCode>#,##0.00</c:formatCode>
                <c:ptCount val="6"/>
                <c:pt idx="0">
                  <c:v>0.46</c:v>
                </c:pt>
                <c:pt idx="1">
                  <c:v>0.47</c:v>
                </c:pt>
                <c:pt idx="2">
                  <c:v>0.47</c:v>
                </c:pt>
                <c:pt idx="3">
                  <c:v>0.48</c:v>
                </c:pt>
                <c:pt idx="4">
                  <c:v>0.5</c:v>
                </c:pt>
                <c:pt idx="5">
                  <c:v>0.51</c:v>
                </c:pt>
              </c:numCache>
            </c:numRef>
          </c:val>
          <c:extLst>
            <c:ext xmlns:c16="http://schemas.microsoft.com/office/drawing/2014/chart" uri="{C3380CC4-5D6E-409C-BE32-E72D297353CC}">
              <c16:uniqueId val="{0000000C-F173-42B2-A251-BA8D7E25660F}"/>
            </c:ext>
          </c:extLst>
        </c:ser>
        <c:ser>
          <c:idx val="7"/>
          <c:order val="7"/>
          <c:tx>
            <c:strRef>
              <c:f>Sheet1!$I$1</c:f>
              <c:strCache>
                <c:ptCount val="1"/>
                <c:pt idx="0">
                  <c:v>B100 Los Angeles, CA</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extLst>
                <c:ext xmlns:c15="http://schemas.microsoft.com/office/drawing/2012/chart" uri="{02D57815-91ED-43cb-92C2-25804820EDAC}">
                  <c15:fullRef>
                    <c15:sqref>Sheet1!$A$2:$A$12</c15:sqref>
                  </c15:fullRef>
                </c:ext>
              </c:extLst>
              <c:f>(Sheet1!$A$2,Sheet1!$A$4,Sheet1!$A$6,Sheet1!$A$8,Sheet1!$A$10,Sheet1!$A$12)</c:f>
              <c:strCache>
                <c:ptCount val="6"/>
                <c:pt idx="0">
                  <c:v>4th Qtr 16</c:v>
                </c:pt>
                <c:pt idx="1">
                  <c:v>1st Qtr 17</c:v>
                </c:pt>
                <c:pt idx="2">
                  <c:v>2nd Qtr 17</c:v>
                </c:pt>
                <c:pt idx="3">
                  <c:v>3rd Qtr 17</c:v>
                </c:pt>
                <c:pt idx="4">
                  <c:v>4th Qtr 17</c:v>
                </c:pt>
                <c:pt idx="5">
                  <c:v>1st Qtr 18</c:v>
                </c:pt>
              </c:strCache>
            </c:strRef>
          </c:cat>
          <c:val>
            <c:numRef>
              <c:extLst>
                <c:ext xmlns:c15="http://schemas.microsoft.com/office/drawing/2012/chart" uri="{02D57815-91ED-43cb-92C2-25804820EDAC}">
                  <c15:fullRef>
                    <c15:sqref>Sheet1!$I$2:$I$12</c15:sqref>
                  </c15:fullRef>
                </c:ext>
              </c:extLst>
              <c:f>(Sheet1!$I$2,Sheet1!$I$4,Sheet1!$I$6,Sheet1!$I$8,Sheet1!$I$10,Sheet1!$I$12)</c:f>
              <c:numCache>
                <c:formatCode>#,##0.00</c:formatCode>
                <c:ptCount val="6"/>
                <c:pt idx="0">
                  <c:v>2.35</c:v>
                </c:pt>
                <c:pt idx="1">
                  <c:v>2.21</c:v>
                </c:pt>
                <c:pt idx="2">
                  <c:v>2.0499999999999998</c:v>
                </c:pt>
                <c:pt idx="3">
                  <c:v>2.15</c:v>
                </c:pt>
                <c:pt idx="4">
                  <c:v>2.17</c:v>
                </c:pt>
                <c:pt idx="5">
                  <c:v>2.2399999999999998</c:v>
                </c:pt>
              </c:numCache>
            </c:numRef>
          </c:val>
          <c:extLst>
            <c:ext xmlns:c16="http://schemas.microsoft.com/office/drawing/2014/chart" uri="{C3380CC4-5D6E-409C-BE32-E72D297353CC}">
              <c16:uniqueId val="{0000000D-F173-42B2-A251-BA8D7E25660F}"/>
            </c:ext>
          </c:extLst>
        </c:ser>
        <c:dLbls>
          <c:showLegendKey val="0"/>
          <c:showVal val="0"/>
          <c:showCatName val="0"/>
          <c:showSerName val="0"/>
          <c:showPercent val="0"/>
          <c:showBubbleSize val="0"/>
        </c:dLbls>
        <c:gapWidth val="219"/>
        <c:overlap val="-27"/>
        <c:axId val="715712392"/>
        <c:axId val="715715672"/>
      </c:barChart>
      <c:lineChart>
        <c:grouping val="standard"/>
        <c:varyColors val="0"/>
        <c:ser>
          <c:idx val="8"/>
          <c:order val="8"/>
          <c:tx>
            <c:strRef>
              <c:f>Sheet1!$J$1</c:f>
              <c:strCache>
                <c:ptCount val="1"/>
                <c:pt idx="0">
                  <c:v>EBITDA</c:v>
                </c:pt>
              </c:strCache>
            </c:strRef>
          </c:tx>
          <c:spPr>
            <a:ln w="34925" cap="rnd">
              <a:solidFill>
                <a:schemeClr val="accent3">
                  <a:lumMod val="60000"/>
                </a:schemeClr>
              </a:solidFill>
              <a:round/>
            </a:ln>
            <a:effectLst>
              <a:outerShdw blurRad="57150" dist="19050" dir="5400000" algn="ctr" rotWithShape="0">
                <a:srgbClr val="000000">
                  <a:alpha val="63000"/>
                </a:srgbClr>
              </a:outerShdw>
            </a:effectLst>
          </c:spPr>
          <c:marker>
            <c:symbol val="none"/>
          </c:marker>
          <c:dLbls>
            <c:dLbl>
              <c:idx val="0"/>
              <c:layout>
                <c:manualLayout>
                  <c:x val="-1.7634093939271452E-2"/>
                  <c:y val="-4.8903266665730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173-42B2-A251-BA8D7E25660F}"/>
                </c:ext>
              </c:extLst>
            </c:dLbl>
            <c:dLbl>
              <c:idx val="1"/>
              <c:layout>
                <c:manualLayout>
                  <c:x val="-3.5920887507728551E-17"/>
                  <c:y val="-2.58899647053866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173-42B2-A251-BA8D7E25660F}"/>
                </c:ext>
              </c:extLst>
            </c:dLbl>
            <c:dLbl>
              <c:idx val="2"/>
              <c:layout>
                <c:manualLayout>
                  <c:x val="-1.1756062626181039E-2"/>
                  <c:y val="-4.02732784306015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173-42B2-A251-BA8D7E25660F}"/>
                </c:ext>
              </c:extLst>
            </c:dLbl>
            <c:dLbl>
              <c:idx val="3"/>
              <c:layout>
                <c:manualLayout>
                  <c:x val="-1.1756062626181039E-2"/>
                  <c:y val="-3.45199529405156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173-42B2-A251-BA8D7E25660F}"/>
                </c:ext>
              </c:extLst>
            </c:dLbl>
            <c:dLbl>
              <c:idx val="4"/>
              <c:layout>
                <c:manualLayout>
                  <c:x val="-1.7634093939271452E-2"/>
                  <c:y val="-6.04099176459023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173-42B2-A251-BA8D7E25660F}"/>
                </c:ext>
              </c:extLst>
            </c:dLbl>
            <c:dLbl>
              <c:idx val="5"/>
              <c:layout>
                <c:manualLayout>
                  <c:x val="1.9593437710301613E-3"/>
                  <c:y val="-5.75332549008593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173-42B2-A251-BA8D7E2566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Sheet1!$A$2:$A$12</c15:sqref>
                  </c15:fullRef>
                </c:ext>
              </c:extLst>
              <c:f>(Sheet1!$A$2,Sheet1!$A$4,Sheet1!$A$6,Sheet1!$A$8,Sheet1!$A$10,Sheet1!$A$12)</c:f>
              <c:strCache>
                <c:ptCount val="6"/>
                <c:pt idx="0">
                  <c:v>4th Qtr 16</c:v>
                </c:pt>
                <c:pt idx="1">
                  <c:v>1st Qtr 17</c:v>
                </c:pt>
                <c:pt idx="2">
                  <c:v>2nd Qtr 17</c:v>
                </c:pt>
                <c:pt idx="3">
                  <c:v>3rd Qtr 17</c:v>
                </c:pt>
                <c:pt idx="4">
                  <c:v>4th Qtr 17</c:v>
                </c:pt>
                <c:pt idx="5">
                  <c:v>1st Qtr 18</c:v>
                </c:pt>
              </c:strCache>
            </c:strRef>
          </c:cat>
          <c:val>
            <c:numRef>
              <c:extLst>
                <c:ext xmlns:c15="http://schemas.microsoft.com/office/drawing/2012/chart" uri="{02D57815-91ED-43cb-92C2-25804820EDAC}">
                  <c15:fullRef>
                    <c15:sqref>Sheet1!$J$2:$J$12</c15:sqref>
                  </c15:fullRef>
                </c:ext>
              </c:extLst>
              <c:f>(Sheet1!$J$2,Sheet1!$J$4,Sheet1!$J$6,Sheet1!$J$8,Sheet1!$J$10,Sheet1!$J$12)</c:f>
              <c:numCache>
                <c:formatCode>#,##0.00</c:formatCode>
                <c:ptCount val="6"/>
                <c:pt idx="0">
                  <c:v>0.98400000000000021</c:v>
                </c:pt>
                <c:pt idx="1">
                  <c:v>1.0605</c:v>
                </c:pt>
                <c:pt idx="2">
                  <c:v>0.90049999999999986</c:v>
                </c:pt>
                <c:pt idx="3">
                  <c:v>0.91500000000000004</c:v>
                </c:pt>
                <c:pt idx="4">
                  <c:v>0.83949999999999991</c:v>
                </c:pt>
                <c:pt idx="5">
                  <c:v>1.0504999999999998</c:v>
                </c:pt>
              </c:numCache>
            </c:numRef>
          </c:val>
          <c:smooth val="0"/>
          <c:extLst>
            <c:ext xmlns:c16="http://schemas.microsoft.com/office/drawing/2014/chart" uri="{C3380CC4-5D6E-409C-BE32-E72D297353CC}">
              <c16:uniqueId val="{00000014-F173-42B2-A251-BA8D7E25660F}"/>
            </c:ext>
          </c:extLst>
        </c:ser>
        <c:dLbls>
          <c:showLegendKey val="0"/>
          <c:showVal val="0"/>
          <c:showCatName val="0"/>
          <c:showSerName val="0"/>
          <c:showPercent val="0"/>
          <c:showBubbleSize val="0"/>
        </c:dLbls>
        <c:marker val="1"/>
        <c:smooth val="0"/>
        <c:axId val="722939320"/>
        <c:axId val="722941616"/>
      </c:lineChart>
      <c:catAx>
        <c:axId val="7157123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5715672"/>
        <c:crosses val="autoZero"/>
        <c:auto val="1"/>
        <c:lblAlgn val="ctr"/>
        <c:lblOffset val="100"/>
        <c:noMultiLvlLbl val="0"/>
      </c:catAx>
      <c:valAx>
        <c:axId val="7157156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5712392"/>
        <c:crosses val="autoZero"/>
        <c:crossBetween val="between"/>
      </c:valAx>
      <c:valAx>
        <c:axId val="722941616"/>
        <c:scaling>
          <c:orientation val="minMax"/>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2939320"/>
        <c:crosses val="max"/>
        <c:crossBetween val="between"/>
      </c:valAx>
      <c:catAx>
        <c:axId val="722939320"/>
        <c:scaling>
          <c:orientation val="minMax"/>
        </c:scaling>
        <c:delete val="1"/>
        <c:axPos val="b"/>
        <c:numFmt formatCode="General" sourceLinked="1"/>
        <c:majorTickMark val="none"/>
        <c:minorTickMark val="none"/>
        <c:tickLblPos val="nextTo"/>
        <c:crossAx val="72294161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Margin Analysis w/RINs and LCFS</a:t>
            </a:r>
          </a:p>
        </c:rich>
      </c:tx>
      <c:layout>
        <c:manualLayout>
          <c:xMode val="edge"/>
          <c:yMode val="edge"/>
          <c:x val="0.26863618009287299"/>
          <c:y val="2.9150319173066326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 Diesel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extLst>
                <c:ext xmlns:c15="http://schemas.microsoft.com/office/drawing/2012/chart" uri="{02D57815-91ED-43cb-92C2-25804820EDAC}">
                  <c15:fullRef>
                    <c15:sqref>Sheet1!$A$2:$A$12</c15:sqref>
                  </c15:fullRef>
                </c:ext>
              </c:extLst>
              <c:f>(Sheet1!$A$2,Sheet1!$A$4,Sheet1!$A$6,Sheet1!$A$8,Sheet1!$A$10,Sheet1!$A$12)</c:f>
              <c:strCache>
                <c:ptCount val="6"/>
                <c:pt idx="0">
                  <c:v>4th Qtr 16</c:v>
                </c:pt>
                <c:pt idx="1">
                  <c:v>1st Qtr 17</c:v>
                </c:pt>
                <c:pt idx="2">
                  <c:v>2nd Qtr 17</c:v>
                </c:pt>
                <c:pt idx="3">
                  <c:v>3rd Qtr 17</c:v>
                </c:pt>
                <c:pt idx="4">
                  <c:v>4th Qtr 17</c:v>
                </c:pt>
                <c:pt idx="5">
                  <c:v>1st Qtr 18</c:v>
                </c:pt>
              </c:strCache>
            </c:strRef>
          </c:cat>
          <c:val>
            <c:numRef>
              <c:extLst>
                <c:ext xmlns:c15="http://schemas.microsoft.com/office/drawing/2012/chart" uri="{02D57815-91ED-43cb-92C2-25804820EDAC}">
                  <c15:fullRef>
                    <c15:sqref>Sheet1!$B$2:$B$12</c15:sqref>
                  </c15:fullRef>
                </c:ext>
              </c:extLst>
              <c:f>(Sheet1!$B$2,Sheet1!$B$4,Sheet1!$B$6,Sheet1!$B$8,Sheet1!$B$10,Sheet1!$B$12)</c:f>
              <c:numCache>
                <c:formatCode>0.00</c:formatCode>
                <c:ptCount val="6"/>
                <c:pt idx="0">
                  <c:v>1.5</c:v>
                </c:pt>
                <c:pt idx="1">
                  <c:v>1.66</c:v>
                </c:pt>
                <c:pt idx="2">
                  <c:v>1.45</c:v>
                </c:pt>
                <c:pt idx="3">
                  <c:v>1.52</c:v>
                </c:pt>
                <c:pt idx="4">
                  <c:v>1.83</c:v>
                </c:pt>
                <c:pt idx="5">
                  <c:v>2.02</c:v>
                </c:pt>
              </c:numCache>
            </c:numRef>
          </c:val>
          <c:extLst>
            <c:ext xmlns:c16="http://schemas.microsoft.com/office/drawing/2014/chart" uri="{C3380CC4-5D6E-409C-BE32-E72D297353CC}">
              <c16:uniqueId val="{00000000-66DA-4A52-9770-B573B03403EB}"/>
            </c:ext>
          </c:extLst>
        </c:ser>
        <c:ser>
          <c:idx val="1"/>
          <c:order val="1"/>
          <c:tx>
            <c:strRef>
              <c:f>Sheet1!$C$1</c:f>
              <c:strCache>
                <c:ptCount val="1"/>
                <c:pt idx="0">
                  <c:v>Crude bbl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extLst>
                <c:ext xmlns:c15="http://schemas.microsoft.com/office/drawing/2012/chart" uri="{02D57815-91ED-43cb-92C2-25804820EDAC}">
                  <c15:fullRef>
                    <c15:sqref>Sheet1!$A$2:$A$12</c15:sqref>
                  </c15:fullRef>
                </c:ext>
              </c:extLst>
              <c:f>(Sheet1!$A$2,Sheet1!$A$4,Sheet1!$A$6,Sheet1!$A$8,Sheet1!$A$10,Sheet1!$A$12)</c:f>
              <c:strCache>
                <c:ptCount val="6"/>
                <c:pt idx="0">
                  <c:v>4th Qtr 16</c:v>
                </c:pt>
                <c:pt idx="1">
                  <c:v>1st Qtr 17</c:v>
                </c:pt>
                <c:pt idx="2">
                  <c:v>2nd Qtr 17</c:v>
                </c:pt>
                <c:pt idx="3">
                  <c:v>3rd Qtr 17</c:v>
                </c:pt>
                <c:pt idx="4">
                  <c:v>4th Qtr 17</c:v>
                </c:pt>
                <c:pt idx="5">
                  <c:v>1st Qtr 18</c:v>
                </c:pt>
              </c:strCache>
            </c:strRef>
          </c:cat>
          <c:val>
            <c:numRef>
              <c:extLst>
                <c:ext xmlns:c15="http://schemas.microsoft.com/office/drawing/2012/chart" uri="{02D57815-91ED-43cb-92C2-25804820EDAC}">
                  <c15:fullRef>
                    <c15:sqref>Sheet1!$C$2:$C$12</c15:sqref>
                  </c15:fullRef>
                </c:ext>
              </c:extLst>
              <c:f>(Sheet1!$C$2,Sheet1!$C$4,Sheet1!$C$6,Sheet1!$C$8,Sheet1!$C$10,Sheet1!$C$12)</c:f>
              <c:numCache>
                <c:formatCode>0.00</c:formatCode>
                <c:ptCount val="6"/>
              </c:numCache>
            </c:numRef>
          </c:val>
          <c:extLst>
            <c:ext xmlns:c16="http://schemas.microsoft.com/office/drawing/2014/chart" uri="{C3380CC4-5D6E-409C-BE32-E72D297353CC}">
              <c16:uniqueId val="{00000001-66DA-4A52-9770-B573B03403EB}"/>
            </c:ext>
          </c:extLst>
        </c:ser>
        <c:ser>
          <c:idx val="2"/>
          <c:order val="2"/>
          <c:tx>
            <c:strRef>
              <c:f>Sheet1!$D$1</c:f>
              <c:strCache>
                <c:ptCount val="1"/>
                <c:pt idx="0">
                  <c:v>HO</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extLst>
                <c:ext xmlns:c15="http://schemas.microsoft.com/office/drawing/2012/chart" uri="{02D57815-91ED-43cb-92C2-25804820EDAC}">
                  <c15:fullRef>
                    <c15:sqref>Sheet1!$A$2:$A$12</c15:sqref>
                  </c15:fullRef>
                </c:ext>
              </c:extLst>
              <c:f>(Sheet1!$A$2,Sheet1!$A$4,Sheet1!$A$6,Sheet1!$A$8,Sheet1!$A$10,Sheet1!$A$12)</c:f>
              <c:strCache>
                <c:ptCount val="6"/>
                <c:pt idx="0">
                  <c:v>4th Qtr 16</c:v>
                </c:pt>
                <c:pt idx="1">
                  <c:v>1st Qtr 17</c:v>
                </c:pt>
                <c:pt idx="2">
                  <c:v>2nd Qtr 17</c:v>
                </c:pt>
                <c:pt idx="3">
                  <c:v>3rd Qtr 17</c:v>
                </c:pt>
                <c:pt idx="4">
                  <c:v>4th Qtr 17</c:v>
                </c:pt>
                <c:pt idx="5">
                  <c:v>1st Qtr 18</c:v>
                </c:pt>
              </c:strCache>
            </c:strRef>
          </c:cat>
          <c:val>
            <c:numRef>
              <c:extLst>
                <c:ext xmlns:c15="http://schemas.microsoft.com/office/drawing/2012/chart" uri="{02D57815-91ED-43cb-92C2-25804820EDAC}">
                  <c15:fullRef>
                    <c15:sqref>Sheet1!$D$2:$D$12</c15:sqref>
                  </c15:fullRef>
                </c:ext>
              </c:extLst>
              <c:f>(Sheet1!$D$2,Sheet1!$D$4,Sheet1!$D$6,Sheet1!$D$8,Sheet1!$D$10,Sheet1!$D$12)</c:f>
              <c:numCache>
                <c:formatCode>0.00</c:formatCode>
                <c:ptCount val="6"/>
                <c:pt idx="0">
                  <c:v>1.47446875</c:v>
                </c:pt>
                <c:pt idx="1">
                  <c:v>1.63</c:v>
                </c:pt>
                <c:pt idx="2">
                  <c:v>1.4348124999999998</c:v>
                </c:pt>
                <c:pt idx="3">
                  <c:v>1.52</c:v>
                </c:pt>
                <c:pt idx="4">
                  <c:v>1.7951718750000003</c:v>
                </c:pt>
                <c:pt idx="5">
                  <c:v>1.9792068965517247</c:v>
                </c:pt>
              </c:numCache>
            </c:numRef>
          </c:val>
          <c:extLst>
            <c:ext xmlns:c16="http://schemas.microsoft.com/office/drawing/2014/chart" uri="{C3380CC4-5D6E-409C-BE32-E72D297353CC}">
              <c16:uniqueId val="{00000002-66DA-4A52-9770-B573B03403EB}"/>
            </c:ext>
          </c:extLst>
        </c:ser>
        <c:ser>
          <c:idx val="3"/>
          <c:order val="3"/>
          <c:tx>
            <c:strRef>
              <c:f>Sheet1!$E$1</c:f>
              <c:strCache>
                <c:ptCount val="1"/>
                <c:pt idx="0">
                  <c:v>RINs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extLst>
                <c:ext xmlns:c15="http://schemas.microsoft.com/office/drawing/2012/chart" uri="{02D57815-91ED-43cb-92C2-25804820EDAC}">
                  <c15:fullRef>
                    <c15:sqref>Sheet1!$A$2:$A$12</c15:sqref>
                  </c15:fullRef>
                </c:ext>
              </c:extLst>
              <c:f>(Sheet1!$A$2,Sheet1!$A$4,Sheet1!$A$6,Sheet1!$A$8,Sheet1!$A$10,Sheet1!$A$12)</c:f>
              <c:strCache>
                <c:ptCount val="6"/>
                <c:pt idx="0">
                  <c:v>4th Qtr 16</c:v>
                </c:pt>
                <c:pt idx="1">
                  <c:v>1st Qtr 17</c:v>
                </c:pt>
                <c:pt idx="2">
                  <c:v>2nd Qtr 17</c:v>
                </c:pt>
                <c:pt idx="3">
                  <c:v>3rd Qtr 17</c:v>
                </c:pt>
                <c:pt idx="4">
                  <c:v>4th Qtr 17</c:v>
                </c:pt>
                <c:pt idx="5">
                  <c:v>1st Qtr 18</c:v>
                </c:pt>
              </c:strCache>
            </c:strRef>
          </c:cat>
          <c:val>
            <c:numRef>
              <c:extLst>
                <c:ext xmlns:c15="http://schemas.microsoft.com/office/drawing/2012/chart" uri="{02D57815-91ED-43cb-92C2-25804820EDAC}">
                  <c15:fullRef>
                    <c15:sqref>Sheet1!$E$14:$E$24</c15:sqref>
                  </c15:fullRef>
                </c:ext>
              </c:extLst>
              <c:f>(Sheet1!$E$14,Sheet1!$E$16,Sheet1!$E$18,Sheet1!$E$20,Sheet1!$E$22,Sheet1!$E$24)</c:f>
              <c:numCache>
                <c:formatCode>0.00</c:formatCode>
                <c:ptCount val="6"/>
                <c:pt idx="0">
                  <c:v>1.72</c:v>
                </c:pt>
                <c:pt idx="1">
                  <c:v>1.33</c:v>
                </c:pt>
                <c:pt idx="2">
                  <c:v>1.0900000000000001</c:v>
                </c:pt>
                <c:pt idx="3">
                  <c:v>1.1100000000000001</c:v>
                </c:pt>
                <c:pt idx="4">
                  <c:v>1.44</c:v>
                </c:pt>
                <c:pt idx="5">
                  <c:v>1.17</c:v>
                </c:pt>
              </c:numCache>
            </c:numRef>
          </c:val>
          <c:extLst>
            <c:ext xmlns:c16="http://schemas.microsoft.com/office/drawing/2014/chart" uri="{C3380CC4-5D6E-409C-BE32-E72D297353CC}">
              <c16:uniqueId val="{00000003-66DA-4A52-9770-B573B03403EB}"/>
            </c:ext>
          </c:extLst>
        </c:ser>
        <c:ser>
          <c:idx val="4"/>
          <c:order val="4"/>
          <c:tx>
            <c:strRef>
              <c:f>Sheet1!$F$1</c:f>
              <c:strCache>
                <c:ptCount val="1"/>
                <c:pt idx="0">
                  <c:v>LCFS @ 22CO2e/MJ (CI = 22)</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extLst>
                <c:ext xmlns:c15="http://schemas.microsoft.com/office/drawing/2012/chart" uri="{02D57815-91ED-43cb-92C2-25804820EDAC}">
                  <c15:fullRef>
                    <c15:sqref>Sheet1!$A$2:$A$12</c15:sqref>
                  </c15:fullRef>
                </c:ext>
              </c:extLst>
              <c:f>(Sheet1!$A$2,Sheet1!$A$4,Sheet1!$A$6,Sheet1!$A$8,Sheet1!$A$10,Sheet1!$A$12)</c:f>
              <c:strCache>
                <c:ptCount val="6"/>
                <c:pt idx="0">
                  <c:v>4th Qtr 16</c:v>
                </c:pt>
                <c:pt idx="1">
                  <c:v>1st Qtr 17</c:v>
                </c:pt>
                <c:pt idx="2">
                  <c:v>2nd Qtr 17</c:v>
                </c:pt>
                <c:pt idx="3">
                  <c:v>3rd Qtr 17</c:v>
                </c:pt>
                <c:pt idx="4">
                  <c:v>4th Qtr 17</c:v>
                </c:pt>
                <c:pt idx="5">
                  <c:v>1st Qtr 18</c:v>
                </c:pt>
              </c:strCache>
            </c:strRef>
          </c:cat>
          <c:val>
            <c:numRef>
              <c:extLst>
                <c:ext xmlns:c15="http://schemas.microsoft.com/office/drawing/2012/chart" uri="{02D57815-91ED-43cb-92C2-25804820EDAC}">
                  <c15:fullRef>
                    <c15:sqref>Sheet1!$F$2:$F$12</c15:sqref>
                  </c15:fullRef>
                </c:ext>
              </c:extLst>
              <c:f>(Sheet1!$F$2,Sheet1!$F$4,Sheet1!$F$6,Sheet1!$F$8,Sheet1!$F$10,Sheet1!$F$12)</c:f>
              <c:numCache>
                <c:formatCode>0.00</c:formatCode>
                <c:ptCount val="6"/>
                <c:pt idx="0">
                  <c:v>0.92</c:v>
                </c:pt>
                <c:pt idx="1">
                  <c:v>0.94</c:v>
                </c:pt>
                <c:pt idx="2">
                  <c:v>0.78</c:v>
                </c:pt>
                <c:pt idx="3">
                  <c:v>0.74</c:v>
                </c:pt>
                <c:pt idx="4">
                  <c:v>0.88</c:v>
                </c:pt>
                <c:pt idx="5">
                  <c:v>1.44</c:v>
                </c:pt>
              </c:numCache>
            </c:numRef>
          </c:val>
          <c:extLst>
            <c:ext xmlns:c16="http://schemas.microsoft.com/office/drawing/2014/chart" uri="{C3380CC4-5D6E-409C-BE32-E72D297353CC}">
              <c16:uniqueId val="{00000004-66DA-4A52-9770-B573B03403EB}"/>
            </c:ext>
          </c:extLst>
        </c:ser>
        <c:ser>
          <c:idx val="5"/>
          <c:order val="5"/>
          <c:tx>
            <c:strRef>
              <c:f>Sheet1!$G$1</c:f>
              <c:strCache>
                <c:ptCount val="1"/>
                <c:pt idx="0">
                  <c:v>Feedstock/gal</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5.8780313130904656E-3"/>
                  <c:y val="-2.58899647053866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6DA-4A52-9770-B573B03403EB}"/>
                </c:ext>
              </c:extLst>
            </c:dLbl>
            <c:dLbl>
              <c:idx val="1"/>
              <c:layout>
                <c:manualLayout>
                  <c:x val="5.8780313130904838E-3"/>
                  <c:y val="-2.30133019603437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6DA-4A52-9770-B573B03403EB}"/>
                </c:ext>
              </c:extLst>
            </c:dLbl>
            <c:dLbl>
              <c:idx val="2"/>
              <c:layout>
                <c:manualLayout>
                  <c:x val="1.9593437710301613E-3"/>
                  <c:y val="-2.58899647053866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6DA-4A52-9770-B573B03403EB}"/>
                </c:ext>
              </c:extLst>
            </c:dLbl>
            <c:dLbl>
              <c:idx val="3"/>
              <c:layout>
                <c:manualLayout>
                  <c:x val="-7.1841775015457102E-17"/>
                  <c:y val="-2.87666274504296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6DA-4A52-9770-B573B03403EB}"/>
                </c:ext>
              </c:extLst>
            </c:dLbl>
            <c:dLbl>
              <c:idx val="4"/>
              <c:layout>
                <c:manualLayout>
                  <c:x val="0"/>
                  <c:y val="-3.45199529405155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6DA-4A52-9770-B573B03403EB}"/>
                </c:ext>
              </c:extLst>
            </c:dLbl>
            <c:dLbl>
              <c:idx val="5"/>
              <c:layout>
                <c:manualLayout>
                  <c:x val="5.8780313130904838E-3"/>
                  <c:y val="-2.87666274504297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6DA-4A52-9770-B573B03403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Sheet1!$A$2:$A$12</c15:sqref>
                  </c15:fullRef>
                </c:ext>
              </c:extLst>
              <c:f>(Sheet1!$A$2,Sheet1!$A$4,Sheet1!$A$6,Sheet1!$A$8,Sheet1!$A$10,Sheet1!$A$12)</c:f>
              <c:strCache>
                <c:ptCount val="6"/>
                <c:pt idx="0">
                  <c:v>4th Qtr 16</c:v>
                </c:pt>
                <c:pt idx="1">
                  <c:v>1st Qtr 17</c:v>
                </c:pt>
                <c:pt idx="2">
                  <c:v>2nd Qtr 17</c:v>
                </c:pt>
                <c:pt idx="3">
                  <c:v>3rd Qtr 17</c:v>
                </c:pt>
                <c:pt idx="4">
                  <c:v>4th Qtr 17</c:v>
                </c:pt>
                <c:pt idx="5">
                  <c:v>1st Qtr 18</c:v>
                </c:pt>
              </c:strCache>
            </c:strRef>
          </c:cat>
          <c:val>
            <c:numRef>
              <c:extLst>
                <c:ext xmlns:c15="http://schemas.microsoft.com/office/drawing/2012/chart" uri="{02D57815-91ED-43cb-92C2-25804820EDAC}">
                  <c15:fullRef>
                    <c15:sqref>Sheet1!$G$2:$G$12</c15:sqref>
                  </c15:fullRef>
                </c:ext>
              </c:extLst>
              <c:f>(Sheet1!$G$2,Sheet1!$G$4,Sheet1!$G$6,Sheet1!$G$8,Sheet1!$G$10,Sheet1!$G$12)</c:f>
              <c:numCache>
                <c:formatCode>0.00</c:formatCode>
                <c:ptCount val="6"/>
                <c:pt idx="0">
                  <c:v>2.1894999999999998</c:v>
                </c:pt>
                <c:pt idx="1">
                  <c:v>1.9630000000000001</c:v>
                </c:pt>
                <c:pt idx="2">
                  <c:v>1.9630000000000001</c:v>
                </c:pt>
                <c:pt idx="3">
                  <c:v>2.0385</c:v>
                </c:pt>
                <c:pt idx="4">
                  <c:v>2.1140000000000003</c:v>
                </c:pt>
                <c:pt idx="5">
                  <c:v>1.9630000000000001</c:v>
                </c:pt>
              </c:numCache>
            </c:numRef>
          </c:val>
          <c:extLst>
            <c:ext xmlns:c16="http://schemas.microsoft.com/office/drawing/2014/chart" uri="{C3380CC4-5D6E-409C-BE32-E72D297353CC}">
              <c16:uniqueId val="{0000000B-66DA-4A52-9770-B573B03403EB}"/>
            </c:ext>
          </c:extLst>
        </c:ser>
        <c:ser>
          <c:idx val="6"/>
          <c:order val="6"/>
          <c:tx>
            <c:strRef>
              <c:f>Sheet1!$H$1</c:f>
              <c:strCache>
                <c:ptCount val="1"/>
                <c:pt idx="0">
                  <c:v>Production and G&amp;A</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extLst>
                <c:ext xmlns:c15="http://schemas.microsoft.com/office/drawing/2012/chart" uri="{02D57815-91ED-43cb-92C2-25804820EDAC}">
                  <c15:fullRef>
                    <c15:sqref>Sheet1!$A$2:$A$12</c15:sqref>
                  </c15:fullRef>
                </c:ext>
              </c:extLst>
              <c:f>(Sheet1!$A$2,Sheet1!$A$4,Sheet1!$A$6,Sheet1!$A$8,Sheet1!$A$10,Sheet1!$A$12)</c:f>
              <c:strCache>
                <c:ptCount val="6"/>
                <c:pt idx="0">
                  <c:v>4th Qtr 16</c:v>
                </c:pt>
                <c:pt idx="1">
                  <c:v>1st Qtr 17</c:v>
                </c:pt>
                <c:pt idx="2">
                  <c:v>2nd Qtr 17</c:v>
                </c:pt>
                <c:pt idx="3">
                  <c:v>3rd Qtr 17</c:v>
                </c:pt>
                <c:pt idx="4">
                  <c:v>4th Qtr 17</c:v>
                </c:pt>
                <c:pt idx="5">
                  <c:v>1st Qtr 18</c:v>
                </c:pt>
              </c:strCache>
            </c:strRef>
          </c:cat>
          <c:val>
            <c:numRef>
              <c:extLst>
                <c:ext xmlns:c15="http://schemas.microsoft.com/office/drawing/2012/chart" uri="{02D57815-91ED-43cb-92C2-25804820EDAC}">
                  <c15:fullRef>
                    <c15:sqref>Sheet1!$H$2:$H$12</c15:sqref>
                  </c15:fullRef>
                </c:ext>
              </c:extLst>
              <c:f>(Sheet1!$H$2,Sheet1!$H$4,Sheet1!$H$6,Sheet1!$H$8,Sheet1!$H$10,Sheet1!$H$12)</c:f>
              <c:numCache>
                <c:formatCode>#,##0.00</c:formatCode>
                <c:ptCount val="6"/>
                <c:pt idx="0">
                  <c:v>0.46</c:v>
                </c:pt>
                <c:pt idx="1">
                  <c:v>0.47</c:v>
                </c:pt>
                <c:pt idx="2">
                  <c:v>0.47</c:v>
                </c:pt>
                <c:pt idx="3">
                  <c:v>0.48</c:v>
                </c:pt>
                <c:pt idx="4">
                  <c:v>0.5</c:v>
                </c:pt>
                <c:pt idx="5">
                  <c:v>0.51</c:v>
                </c:pt>
              </c:numCache>
            </c:numRef>
          </c:val>
          <c:extLst>
            <c:ext xmlns:c16="http://schemas.microsoft.com/office/drawing/2014/chart" uri="{C3380CC4-5D6E-409C-BE32-E72D297353CC}">
              <c16:uniqueId val="{0000000C-66DA-4A52-9770-B573B03403EB}"/>
            </c:ext>
          </c:extLst>
        </c:ser>
        <c:ser>
          <c:idx val="7"/>
          <c:order val="7"/>
          <c:tx>
            <c:strRef>
              <c:f>Sheet1!$I$1</c:f>
              <c:strCache>
                <c:ptCount val="1"/>
                <c:pt idx="0">
                  <c:v>B100 Los Angeles, CA</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extLst>
                <c:ext xmlns:c15="http://schemas.microsoft.com/office/drawing/2012/chart" uri="{02D57815-91ED-43cb-92C2-25804820EDAC}">
                  <c15:fullRef>
                    <c15:sqref>Sheet1!$A$2:$A$12</c15:sqref>
                  </c15:fullRef>
                </c:ext>
              </c:extLst>
              <c:f>(Sheet1!$A$2,Sheet1!$A$4,Sheet1!$A$6,Sheet1!$A$8,Sheet1!$A$10,Sheet1!$A$12)</c:f>
              <c:strCache>
                <c:ptCount val="6"/>
                <c:pt idx="0">
                  <c:v>4th Qtr 16</c:v>
                </c:pt>
                <c:pt idx="1">
                  <c:v>1st Qtr 17</c:v>
                </c:pt>
                <c:pt idx="2">
                  <c:v>2nd Qtr 17</c:v>
                </c:pt>
                <c:pt idx="3">
                  <c:v>3rd Qtr 17</c:v>
                </c:pt>
                <c:pt idx="4">
                  <c:v>4th Qtr 17</c:v>
                </c:pt>
                <c:pt idx="5">
                  <c:v>1st Qtr 18</c:v>
                </c:pt>
              </c:strCache>
            </c:strRef>
          </c:cat>
          <c:val>
            <c:numRef>
              <c:extLst>
                <c:ext xmlns:c15="http://schemas.microsoft.com/office/drawing/2012/chart" uri="{02D57815-91ED-43cb-92C2-25804820EDAC}">
                  <c15:fullRef>
                    <c15:sqref>Sheet1!$I$2:$I$12</c15:sqref>
                  </c15:fullRef>
                </c:ext>
              </c:extLst>
              <c:f>(Sheet1!$I$2,Sheet1!$I$4,Sheet1!$I$6,Sheet1!$I$8,Sheet1!$I$10,Sheet1!$I$12)</c:f>
              <c:numCache>
                <c:formatCode>#,##0.00</c:formatCode>
                <c:ptCount val="6"/>
                <c:pt idx="0">
                  <c:v>3.66</c:v>
                </c:pt>
                <c:pt idx="1">
                  <c:v>3.52</c:v>
                </c:pt>
                <c:pt idx="2">
                  <c:v>3.36</c:v>
                </c:pt>
                <c:pt idx="3">
                  <c:v>3.46</c:v>
                </c:pt>
                <c:pt idx="4">
                  <c:v>3.48</c:v>
                </c:pt>
                <c:pt idx="5">
                  <c:v>3.55</c:v>
                </c:pt>
              </c:numCache>
            </c:numRef>
          </c:val>
          <c:extLst>
            <c:ext xmlns:c16="http://schemas.microsoft.com/office/drawing/2014/chart" uri="{C3380CC4-5D6E-409C-BE32-E72D297353CC}">
              <c16:uniqueId val="{0000000D-66DA-4A52-9770-B573B03403EB}"/>
            </c:ext>
          </c:extLst>
        </c:ser>
        <c:dLbls>
          <c:showLegendKey val="0"/>
          <c:showVal val="0"/>
          <c:showCatName val="0"/>
          <c:showSerName val="0"/>
          <c:showPercent val="0"/>
          <c:showBubbleSize val="0"/>
        </c:dLbls>
        <c:gapWidth val="219"/>
        <c:overlap val="-27"/>
        <c:axId val="715712392"/>
        <c:axId val="715715672"/>
      </c:barChart>
      <c:lineChart>
        <c:grouping val="standard"/>
        <c:varyColors val="0"/>
        <c:ser>
          <c:idx val="8"/>
          <c:order val="8"/>
          <c:tx>
            <c:strRef>
              <c:f>Sheet1!$J$1</c:f>
              <c:strCache>
                <c:ptCount val="1"/>
                <c:pt idx="0">
                  <c:v>EBITDA</c:v>
                </c:pt>
              </c:strCache>
            </c:strRef>
          </c:tx>
          <c:spPr>
            <a:ln w="34925" cap="rnd">
              <a:solidFill>
                <a:schemeClr val="accent3">
                  <a:lumMod val="60000"/>
                </a:schemeClr>
              </a:solidFill>
              <a:round/>
            </a:ln>
            <a:effectLst>
              <a:outerShdw blurRad="57150" dist="19050" dir="5400000" algn="ctr" rotWithShape="0">
                <a:srgbClr val="000000">
                  <a:alpha val="63000"/>
                </a:srgbClr>
              </a:outerShdw>
            </a:effectLst>
          </c:spPr>
          <c:marker>
            <c:symbol val="none"/>
          </c:marker>
          <c:dLbls>
            <c:dLbl>
              <c:idx val="0"/>
              <c:layout>
                <c:manualLayout>
                  <c:x val="-1.7634093939271452E-2"/>
                  <c:y val="-4.8903266665730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6DA-4A52-9770-B573B03403EB}"/>
                </c:ext>
              </c:extLst>
            </c:dLbl>
            <c:dLbl>
              <c:idx val="1"/>
              <c:layout>
                <c:manualLayout>
                  <c:x val="-3.5920887507728551E-17"/>
                  <c:y val="-2.58899647053866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6DA-4A52-9770-B573B03403EB}"/>
                </c:ext>
              </c:extLst>
            </c:dLbl>
            <c:dLbl>
              <c:idx val="2"/>
              <c:layout>
                <c:manualLayout>
                  <c:x val="-1.1756062626181039E-2"/>
                  <c:y val="-4.02732784306015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6DA-4A52-9770-B573B03403EB}"/>
                </c:ext>
              </c:extLst>
            </c:dLbl>
            <c:dLbl>
              <c:idx val="3"/>
              <c:layout>
                <c:manualLayout>
                  <c:x val="-1.1756062626181039E-2"/>
                  <c:y val="-3.45199529405156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6DA-4A52-9770-B573B03403EB}"/>
                </c:ext>
              </c:extLst>
            </c:dLbl>
            <c:dLbl>
              <c:idx val="4"/>
              <c:layout>
                <c:manualLayout>
                  <c:x val="-1.7634093939271452E-2"/>
                  <c:y val="-6.04099176459023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6DA-4A52-9770-B573B03403EB}"/>
                </c:ext>
              </c:extLst>
            </c:dLbl>
            <c:dLbl>
              <c:idx val="5"/>
              <c:layout>
                <c:manualLayout>
                  <c:x val="1.9593437710301613E-3"/>
                  <c:y val="-5.75332549008593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6DA-4A52-9770-B573B03403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Sheet1!$A$2:$A$12</c15:sqref>
                  </c15:fullRef>
                </c:ext>
              </c:extLst>
              <c:f>(Sheet1!$A$2,Sheet1!$A$4,Sheet1!$A$6,Sheet1!$A$8,Sheet1!$A$10,Sheet1!$A$12)</c:f>
              <c:strCache>
                <c:ptCount val="6"/>
                <c:pt idx="0">
                  <c:v>4th Qtr 16</c:v>
                </c:pt>
                <c:pt idx="1">
                  <c:v>1st Qtr 17</c:v>
                </c:pt>
                <c:pt idx="2">
                  <c:v>2nd Qtr 17</c:v>
                </c:pt>
                <c:pt idx="3">
                  <c:v>3rd Qtr 17</c:v>
                </c:pt>
                <c:pt idx="4">
                  <c:v>4th Qtr 17</c:v>
                </c:pt>
                <c:pt idx="5">
                  <c:v>1st Qtr 18</c:v>
                </c:pt>
              </c:strCache>
            </c:strRef>
          </c:cat>
          <c:val>
            <c:numRef>
              <c:extLst>
                <c:ext xmlns:c15="http://schemas.microsoft.com/office/drawing/2012/chart" uri="{02D57815-91ED-43cb-92C2-25804820EDAC}">
                  <c15:fullRef>
                    <c15:sqref>Sheet1!$J$2:$J$12</c15:sqref>
                  </c15:fullRef>
                </c:ext>
              </c:extLst>
              <c:f>(Sheet1!$J$2,Sheet1!$J$4,Sheet1!$J$6,Sheet1!$J$8,Sheet1!$J$10,Sheet1!$J$12)</c:f>
              <c:numCache>
                <c:formatCode>#,##0.00</c:formatCode>
                <c:ptCount val="6"/>
                <c:pt idx="0">
                  <c:v>1.0105000000000004</c:v>
                </c:pt>
                <c:pt idx="1">
                  <c:v>1.0870000000000002</c:v>
                </c:pt>
                <c:pt idx="2">
                  <c:v>0.92700000000000005</c:v>
                </c:pt>
                <c:pt idx="3">
                  <c:v>0.9415</c:v>
                </c:pt>
                <c:pt idx="4">
                  <c:v>0.86599999999999966</c:v>
                </c:pt>
                <c:pt idx="5">
                  <c:v>1.077</c:v>
                </c:pt>
              </c:numCache>
            </c:numRef>
          </c:val>
          <c:smooth val="0"/>
          <c:extLst>
            <c:ext xmlns:c16="http://schemas.microsoft.com/office/drawing/2014/chart" uri="{C3380CC4-5D6E-409C-BE32-E72D297353CC}">
              <c16:uniqueId val="{00000014-66DA-4A52-9770-B573B03403EB}"/>
            </c:ext>
          </c:extLst>
        </c:ser>
        <c:dLbls>
          <c:showLegendKey val="0"/>
          <c:showVal val="0"/>
          <c:showCatName val="0"/>
          <c:showSerName val="0"/>
          <c:showPercent val="0"/>
          <c:showBubbleSize val="0"/>
        </c:dLbls>
        <c:marker val="1"/>
        <c:smooth val="0"/>
        <c:axId val="722939320"/>
        <c:axId val="722941616"/>
      </c:lineChart>
      <c:catAx>
        <c:axId val="7157123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5715672"/>
        <c:crosses val="autoZero"/>
        <c:auto val="1"/>
        <c:lblAlgn val="ctr"/>
        <c:lblOffset val="100"/>
        <c:noMultiLvlLbl val="0"/>
      </c:catAx>
      <c:valAx>
        <c:axId val="7157156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5712392"/>
        <c:crosses val="autoZero"/>
        <c:crossBetween val="between"/>
      </c:valAx>
      <c:valAx>
        <c:axId val="722941616"/>
        <c:scaling>
          <c:orientation val="minMax"/>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2939320"/>
        <c:crosses val="max"/>
        <c:crossBetween val="between"/>
      </c:valAx>
      <c:catAx>
        <c:axId val="722939320"/>
        <c:scaling>
          <c:orientation val="minMax"/>
        </c:scaling>
        <c:delete val="1"/>
        <c:axPos val="b"/>
        <c:numFmt formatCode="General" sourceLinked="1"/>
        <c:majorTickMark val="none"/>
        <c:minorTickMark val="none"/>
        <c:tickLblPos val="nextTo"/>
        <c:crossAx val="722941616"/>
        <c:crosses val="autoZero"/>
        <c:auto val="1"/>
        <c:lblAlgn val="ctr"/>
        <c:lblOffset val="100"/>
        <c:noMultiLvlLbl val="0"/>
      </c:catAx>
      <c:spPr>
        <a:noFill/>
        <a:ln>
          <a:noFill/>
        </a:ln>
        <a:effectLst/>
      </c:spPr>
    </c:plotArea>
    <c:legend>
      <c:legendPos val="b"/>
      <c:layout>
        <c:manualLayout>
          <c:xMode val="edge"/>
          <c:yMode val="edge"/>
          <c:x val="8.9213271417995829E-2"/>
          <c:y val="0.82705771190365907"/>
          <c:w val="0.82157328891580861"/>
          <c:h val="0.1509815037826154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4158CF-9F55-4748-ACA7-A42205606383}" type="doc">
      <dgm:prSet loTypeId="urn:microsoft.com/office/officeart/2005/8/layout/radial6" loCatId="relationship" qsTypeId="urn:microsoft.com/office/officeart/2005/8/quickstyle/3d1" qsCatId="3D" csTypeId="urn:microsoft.com/office/officeart/2005/8/colors/accent1_2" csCatId="accent1" phldr="1"/>
      <dgm:spPr/>
      <dgm:t>
        <a:bodyPr/>
        <a:lstStyle/>
        <a:p>
          <a:endParaRPr lang="en-US"/>
        </a:p>
      </dgm:t>
    </dgm:pt>
    <dgm:pt modelId="{074B2CB5-B011-496A-94FF-E86C08F58D2C}">
      <dgm:prSet phldrT="[Text]"/>
      <dgm:spPr>
        <a:xfrm>
          <a:off x="2176611" y="1033611"/>
          <a:ext cx="1133177" cy="1133177"/>
        </a:xfrm>
        <a:prstGeom prst="ellipse">
          <a:avLst/>
        </a:prstGeom>
      </dgm:spPr>
      <dgm:t>
        <a:bodyPr/>
        <a:lstStyle/>
        <a:p>
          <a:pPr>
            <a:buNone/>
          </a:pPr>
          <a:r>
            <a:rPr lang="en-US">
              <a:latin typeface="Calibri" panose="020F0502020204030204"/>
              <a:ea typeface="+mn-ea"/>
              <a:cs typeface="+mn-cs"/>
            </a:rPr>
            <a:t>Jatro Renewables</a:t>
          </a:r>
          <a:br>
            <a:rPr lang="en-US">
              <a:latin typeface="Calibri" panose="020F0502020204030204"/>
              <a:ea typeface="+mn-ea"/>
              <a:cs typeface="+mn-cs"/>
            </a:rPr>
          </a:br>
          <a:r>
            <a:rPr lang="en-US">
              <a:latin typeface="Calibri" panose="020F0502020204030204"/>
              <a:ea typeface="+mn-ea"/>
              <a:cs typeface="+mn-cs"/>
            </a:rPr>
            <a:t>Holding Co. (Franchisor)</a:t>
          </a:r>
        </a:p>
      </dgm:t>
    </dgm:pt>
    <dgm:pt modelId="{1FD69CA8-4897-4E18-9FDA-30B3E103BF8E}" type="parTrans" cxnId="{117E757A-23BB-4C61-949A-A5038A2ADB49}">
      <dgm:prSet/>
      <dgm:spPr/>
      <dgm:t>
        <a:bodyPr/>
        <a:lstStyle/>
        <a:p>
          <a:endParaRPr lang="en-US"/>
        </a:p>
      </dgm:t>
    </dgm:pt>
    <dgm:pt modelId="{0CBE1945-B9BF-4CEF-9DA0-75677634EDA1}" type="sibTrans" cxnId="{117E757A-23BB-4C61-949A-A5038A2ADB49}">
      <dgm:prSet/>
      <dgm:spPr/>
      <dgm:t>
        <a:bodyPr/>
        <a:lstStyle/>
        <a:p>
          <a:endParaRPr lang="en-US"/>
        </a:p>
      </dgm:t>
    </dgm:pt>
    <dgm:pt modelId="{F50C5B60-51BB-424D-8987-02BD3450179E}">
      <dgm:prSet phldrT="[Text]" custT="1"/>
      <dgm:spPr>
        <a:xfrm>
          <a:off x="2346587" y="884"/>
          <a:ext cx="793224" cy="793224"/>
        </a:xfrm>
        <a:prstGeom prst="ellipse">
          <a:avLst/>
        </a:prstGeom>
      </dgm:spPr>
      <dgm:t>
        <a:bodyPr/>
        <a:lstStyle/>
        <a:p>
          <a:pPr>
            <a:buNone/>
          </a:pPr>
          <a:r>
            <a:rPr lang="en-US" sz="1000">
              <a:latin typeface="Calibri" panose="020F0502020204030204"/>
              <a:ea typeface="+mn-ea"/>
              <a:cs typeface="+mn-cs"/>
            </a:rPr>
            <a:t>Financial Entity</a:t>
          </a:r>
        </a:p>
      </dgm:t>
    </dgm:pt>
    <dgm:pt modelId="{921C3EEE-A8C8-4BDD-97B4-6F3F35E0BE88}" type="parTrans" cxnId="{2D6AF457-29B8-487D-8838-DF235CC7F4AA}">
      <dgm:prSet/>
      <dgm:spPr/>
      <dgm:t>
        <a:bodyPr/>
        <a:lstStyle/>
        <a:p>
          <a:endParaRPr lang="en-US"/>
        </a:p>
      </dgm:t>
    </dgm:pt>
    <dgm:pt modelId="{C14FBB9A-77EA-43A8-815B-259BE2563496}" type="sibTrans" cxnId="{2D6AF457-29B8-487D-8838-DF235CC7F4AA}">
      <dgm:prSet/>
      <dgm:spPr>
        <a:xfrm>
          <a:off x="1511940" y="368940"/>
          <a:ext cx="2462518" cy="2462518"/>
        </a:xfrm>
        <a:prstGeom prst="blockArc">
          <a:avLst>
            <a:gd name="adj1" fmla="val 16200000"/>
            <a:gd name="adj2" fmla="val 0"/>
            <a:gd name="adj3" fmla="val 4639"/>
          </a:avLst>
        </a:prstGeom>
      </dgm:spPr>
      <dgm:t>
        <a:bodyPr/>
        <a:lstStyle/>
        <a:p>
          <a:endParaRPr lang="en-US"/>
        </a:p>
      </dgm:t>
    </dgm:pt>
    <dgm:pt modelId="{17F10457-9D0B-4D41-A8D2-E32FA2071245}">
      <dgm:prSet phldrT="[Text]" custT="1"/>
      <dgm:spPr>
        <a:xfrm>
          <a:off x="3549290" y="1203587"/>
          <a:ext cx="793224" cy="793224"/>
        </a:xfrm>
        <a:prstGeom prst="ellipse">
          <a:avLst/>
        </a:prstGeom>
      </dgm:spPr>
      <dgm:t>
        <a:bodyPr/>
        <a:lstStyle/>
        <a:p>
          <a:pPr>
            <a:buNone/>
          </a:pPr>
          <a:r>
            <a:rPr lang="en-US" sz="900">
              <a:latin typeface="Calibri" panose="020F0502020204030204"/>
              <a:ea typeface="+mn-ea"/>
              <a:cs typeface="+mn-cs"/>
            </a:rPr>
            <a:t>Petroleum Distributor</a:t>
          </a:r>
        </a:p>
      </dgm:t>
    </dgm:pt>
    <dgm:pt modelId="{AA4D37E1-8BEE-4B16-9871-2528C58867D3}" type="parTrans" cxnId="{B8D70B4C-16CE-4D45-9FCF-A5180664E0B4}">
      <dgm:prSet/>
      <dgm:spPr/>
      <dgm:t>
        <a:bodyPr/>
        <a:lstStyle/>
        <a:p>
          <a:endParaRPr lang="en-US"/>
        </a:p>
      </dgm:t>
    </dgm:pt>
    <dgm:pt modelId="{823E0D22-3B06-4D22-A682-4DB7B5BD1810}" type="sibTrans" cxnId="{B8D70B4C-16CE-4D45-9FCF-A5180664E0B4}">
      <dgm:prSet/>
      <dgm:spPr>
        <a:xfrm>
          <a:off x="1511940" y="368940"/>
          <a:ext cx="2462518" cy="2462518"/>
        </a:xfrm>
        <a:prstGeom prst="blockArc">
          <a:avLst>
            <a:gd name="adj1" fmla="val 0"/>
            <a:gd name="adj2" fmla="val 5400000"/>
            <a:gd name="adj3" fmla="val 4639"/>
          </a:avLst>
        </a:prstGeom>
      </dgm:spPr>
      <dgm:t>
        <a:bodyPr/>
        <a:lstStyle/>
        <a:p>
          <a:endParaRPr lang="en-US"/>
        </a:p>
      </dgm:t>
    </dgm:pt>
    <dgm:pt modelId="{647C944C-47E5-4E8D-B120-E12263DB724D}">
      <dgm:prSet phldrT="[Text]" custT="1"/>
      <dgm:spPr>
        <a:xfrm>
          <a:off x="2346587" y="2406290"/>
          <a:ext cx="793224" cy="793224"/>
        </a:xfrm>
        <a:prstGeom prst="ellipse">
          <a:avLst/>
        </a:prstGeom>
      </dgm:spPr>
      <dgm:t>
        <a:bodyPr/>
        <a:lstStyle/>
        <a:p>
          <a:pPr>
            <a:buNone/>
          </a:pPr>
          <a:r>
            <a:rPr lang="en-US" sz="850">
              <a:latin typeface="Calibri" panose="020F0502020204030204"/>
              <a:ea typeface="+mn-ea"/>
              <a:cs typeface="+mn-cs"/>
            </a:rPr>
            <a:t>Plant Operator (Franchisee</a:t>
          </a:r>
          <a:r>
            <a:rPr lang="en-US" sz="800">
              <a:latin typeface="Calibri" panose="020F0502020204030204"/>
              <a:ea typeface="+mn-ea"/>
              <a:cs typeface="+mn-cs"/>
            </a:rPr>
            <a:t>)</a:t>
          </a:r>
        </a:p>
      </dgm:t>
    </dgm:pt>
    <dgm:pt modelId="{4A3ED885-3BFD-431E-8854-A55D52704DCC}" type="parTrans" cxnId="{237563BA-477B-467F-B80C-CE21C85BA610}">
      <dgm:prSet/>
      <dgm:spPr/>
      <dgm:t>
        <a:bodyPr/>
        <a:lstStyle/>
        <a:p>
          <a:endParaRPr lang="en-US"/>
        </a:p>
      </dgm:t>
    </dgm:pt>
    <dgm:pt modelId="{14ED029F-2A82-485F-9614-551F14A88DCC}" type="sibTrans" cxnId="{237563BA-477B-467F-B80C-CE21C85BA610}">
      <dgm:prSet/>
      <dgm:spPr>
        <a:xfrm>
          <a:off x="1511940" y="368940"/>
          <a:ext cx="2462518" cy="2462518"/>
        </a:xfrm>
        <a:prstGeom prst="blockArc">
          <a:avLst>
            <a:gd name="adj1" fmla="val 5400000"/>
            <a:gd name="adj2" fmla="val 10800000"/>
            <a:gd name="adj3" fmla="val 4639"/>
          </a:avLst>
        </a:prstGeom>
      </dgm:spPr>
      <dgm:t>
        <a:bodyPr/>
        <a:lstStyle/>
        <a:p>
          <a:endParaRPr lang="en-US"/>
        </a:p>
      </dgm:t>
    </dgm:pt>
    <dgm:pt modelId="{06579B4B-2DF5-41D3-B079-4E4F6C84AFD0}">
      <dgm:prSet phldrT="[Text]" custT="1"/>
      <dgm:spPr>
        <a:xfrm>
          <a:off x="1143884" y="1203587"/>
          <a:ext cx="793224" cy="793224"/>
        </a:xfrm>
        <a:prstGeom prst="ellipse">
          <a:avLst/>
        </a:prstGeom>
      </dgm:spPr>
      <dgm:t>
        <a:bodyPr/>
        <a:lstStyle/>
        <a:p>
          <a:pPr>
            <a:buNone/>
          </a:pPr>
          <a:r>
            <a:rPr lang="en-US" sz="1000">
              <a:latin typeface="Calibri" panose="020F0502020204030204"/>
              <a:ea typeface="+mn-ea"/>
              <a:cs typeface="+mn-cs"/>
            </a:rPr>
            <a:t>Feedstock Broker</a:t>
          </a:r>
        </a:p>
      </dgm:t>
    </dgm:pt>
    <dgm:pt modelId="{D0EAF6C9-EB20-47D4-B7C3-535141CD6C2E}" type="parTrans" cxnId="{E8581A27-0797-4ECB-B440-14E1E9217170}">
      <dgm:prSet/>
      <dgm:spPr/>
      <dgm:t>
        <a:bodyPr/>
        <a:lstStyle/>
        <a:p>
          <a:endParaRPr lang="en-US"/>
        </a:p>
      </dgm:t>
    </dgm:pt>
    <dgm:pt modelId="{F78E0F66-FC69-4452-B821-5C9F022AB30B}" type="sibTrans" cxnId="{E8581A27-0797-4ECB-B440-14E1E9217170}">
      <dgm:prSet/>
      <dgm:spPr>
        <a:xfrm>
          <a:off x="1511940" y="368940"/>
          <a:ext cx="2462518" cy="2462518"/>
        </a:xfrm>
        <a:prstGeom prst="blockArc">
          <a:avLst>
            <a:gd name="adj1" fmla="val 10800000"/>
            <a:gd name="adj2" fmla="val 16200000"/>
            <a:gd name="adj3" fmla="val 4639"/>
          </a:avLst>
        </a:prstGeom>
      </dgm:spPr>
      <dgm:t>
        <a:bodyPr/>
        <a:lstStyle/>
        <a:p>
          <a:endParaRPr lang="en-US"/>
        </a:p>
      </dgm:t>
    </dgm:pt>
    <dgm:pt modelId="{9D29D2F4-9AD9-4A48-99CD-D8F601F27B91}" type="pres">
      <dgm:prSet presAssocID="{594158CF-9F55-4748-ACA7-A42205606383}" presName="Name0" presStyleCnt="0">
        <dgm:presLayoutVars>
          <dgm:chMax val="1"/>
          <dgm:dir/>
          <dgm:animLvl val="ctr"/>
          <dgm:resizeHandles val="exact"/>
        </dgm:presLayoutVars>
      </dgm:prSet>
      <dgm:spPr/>
    </dgm:pt>
    <dgm:pt modelId="{A8CFF7DE-58C9-4CC0-BFF3-181A9760094A}" type="pres">
      <dgm:prSet presAssocID="{074B2CB5-B011-496A-94FF-E86C08F58D2C}" presName="centerShape" presStyleLbl="node0" presStyleIdx="0" presStyleCnt="1"/>
      <dgm:spPr/>
    </dgm:pt>
    <dgm:pt modelId="{736E1DD3-0947-4C94-8B95-C870868C4179}" type="pres">
      <dgm:prSet presAssocID="{F50C5B60-51BB-424D-8987-02BD3450179E}" presName="node" presStyleLbl="node1" presStyleIdx="0" presStyleCnt="4">
        <dgm:presLayoutVars>
          <dgm:bulletEnabled val="1"/>
        </dgm:presLayoutVars>
      </dgm:prSet>
      <dgm:spPr/>
    </dgm:pt>
    <dgm:pt modelId="{BE578ACF-6872-48E2-A366-76C3B2B28BFD}" type="pres">
      <dgm:prSet presAssocID="{F50C5B60-51BB-424D-8987-02BD3450179E}" presName="dummy" presStyleCnt="0"/>
      <dgm:spPr/>
    </dgm:pt>
    <dgm:pt modelId="{C07F1D00-435D-4F2D-A392-A8CBACF9BEC1}" type="pres">
      <dgm:prSet presAssocID="{C14FBB9A-77EA-43A8-815B-259BE2563496}" presName="sibTrans" presStyleLbl="sibTrans2D1" presStyleIdx="0" presStyleCnt="4"/>
      <dgm:spPr/>
    </dgm:pt>
    <dgm:pt modelId="{60C6CD68-0561-4F20-9E5B-71C449C9DD03}" type="pres">
      <dgm:prSet presAssocID="{17F10457-9D0B-4D41-A8D2-E32FA2071245}" presName="node" presStyleLbl="node1" presStyleIdx="1" presStyleCnt="4">
        <dgm:presLayoutVars>
          <dgm:bulletEnabled val="1"/>
        </dgm:presLayoutVars>
      </dgm:prSet>
      <dgm:spPr/>
    </dgm:pt>
    <dgm:pt modelId="{99002E16-94F0-4869-B22D-C0A67E40157A}" type="pres">
      <dgm:prSet presAssocID="{17F10457-9D0B-4D41-A8D2-E32FA2071245}" presName="dummy" presStyleCnt="0"/>
      <dgm:spPr/>
    </dgm:pt>
    <dgm:pt modelId="{E54EE6D2-072C-4057-B790-2CCA19660651}" type="pres">
      <dgm:prSet presAssocID="{823E0D22-3B06-4D22-A682-4DB7B5BD1810}" presName="sibTrans" presStyleLbl="sibTrans2D1" presStyleIdx="1" presStyleCnt="4"/>
      <dgm:spPr/>
    </dgm:pt>
    <dgm:pt modelId="{5B4A0870-E13D-4AC4-B248-5E7551E96E7A}" type="pres">
      <dgm:prSet presAssocID="{647C944C-47E5-4E8D-B120-E12263DB724D}" presName="node" presStyleLbl="node1" presStyleIdx="2" presStyleCnt="4">
        <dgm:presLayoutVars>
          <dgm:bulletEnabled val="1"/>
        </dgm:presLayoutVars>
      </dgm:prSet>
      <dgm:spPr/>
    </dgm:pt>
    <dgm:pt modelId="{9CA98CF7-FC46-40AD-9545-FC1D5935FF7C}" type="pres">
      <dgm:prSet presAssocID="{647C944C-47E5-4E8D-B120-E12263DB724D}" presName="dummy" presStyleCnt="0"/>
      <dgm:spPr/>
    </dgm:pt>
    <dgm:pt modelId="{2F97856C-5BE7-42E0-A962-F91EC7D08CCE}" type="pres">
      <dgm:prSet presAssocID="{14ED029F-2A82-485F-9614-551F14A88DCC}" presName="sibTrans" presStyleLbl="sibTrans2D1" presStyleIdx="2" presStyleCnt="4"/>
      <dgm:spPr/>
    </dgm:pt>
    <dgm:pt modelId="{6EF5B396-D92A-44BB-8E52-D6BF60F85ADB}" type="pres">
      <dgm:prSet presAssocID="{06579B4B-2DF5-41D3-B079-4E4F6C84AFD0}" presName="node" presStyleLbl="node1" presStyleIdx="3" presStyleCnt="4">
        <dgm:presLayoutVars>
          <dgm:bulletEnabled val="1"/>
        </dgm:presLayoutVars>
      </dgm:prSet>
      <dgm:spPr/>
    </dgm:pt>
    <dgm:pt modelId="{AC494D47-0F8F-4EF1-A083-31F499FE9F34}" type="pres">
      <dgm:prSet presAssocID="{06579B4B-2DF5-41D3-B079-4E4F6C84AFD0}" presName="dummy" presStyleCnt="0"/>
      <dgm:spPr/>
    </dgm:pt>
    <dgm:pt modelId="{321BC63F-4A9E-4000-AB20-05D938C107AE}" type="pres">
      <dgm:prSet presAssocID="{F78E0F66-FC69-4452-B821-5C9F022AB30B}" presName="sibTrans" presStyleLbl="sibTrans2D1" presStyleIdx="3" presStyleCnt="4"/>
      <dgm:spPr/>
    </dgm:pt>
  </dgm:ptLst>
  <dgm:cxnLst>
    <dgm:cxn modelId="{0763C716-5D29-496A-B2A4-F576C71D26BB}" type="presOf" srcId="{F78E0F66-FC69-4452-B821-5C9F022AB30B}" destId="{321BC63F-4A9E-4000-AB20-05D938C107AE}" srcOrd="0" destOrd="0" presId="urn:microsoft.com/office/officeart/2005/8/layout/radial6"/>
    <dgm:cxn modelId="{A7F93D1D-7F72-4248-A647-A04ABA318EE4}" type="presOf" srcId="{594158CF-9F55-4748-ACA7-A42205606383}" destId="{9D29D2F4-9AD9-4A48-99CD-D8F601F27B91}" srcOrd="0" destOrd="0" presId="urn:microsoft.com/office/officeart/2005/8/layout/radial6"/>
    <dgm:cxn modelId="{77A08F23-EC05-407C-AE85-8AD5266E275D}" type="presOf" srcId="{F50C5B60-51BB-424D-8987-02BD3450179E}" destId="{736E1DD3-0947-4C94-8B95-C870868C4179}" srcOrd="0" destOrd="0" presId="urn:microsoft.com/office/officeart/2005/8/layout/radial6"/>
    <dgm:cxn modelId="{E8581A27-0797-4ECB-B440-14E1E9217170}" srcId="{074B2CB5-B011-496A-94FF-E86C08F58D2C}" destId="{06579B4B-2DF5-41D3-B079-4E4F6C84AFD0}" srcOrd="3" destOrd="0" parTransId="{D0EAF6C9-EB20-47D4-B7C3-535141CD6C2E}" sibTransId="{F78E0F66-FC69-4452-B821-5C9F022AB30B}"/>
    <dgm:cxn modelId="{5695F967-17DC-4E50-8558-2F5D66DB09BF}" type="presOf" srcId="{823E0D22-3B06-4D22-A682-4DB7B5BD1810}" destId="{E54EE6D2-072C-4057-B790-2CCA19660651}" srcOrd="0" destOrd="0" presId="urn:microsoft.com/office/officeart/2005/8/layout/radial6"/>
    <dgm:cxn modelId="{B8D70B4C-16CE-4D45-9FCF-A5180664E0B4}" srcId="{074B2CB5-B011-496A-94FF-E86C08F58D2C}" destId="{17F10457-9D0B-4D41-A8D2-E32FA2071245}" srcOrd="1" destOrd="0" parTransId="{AA4D37E1-8BEE-4B16-9871-2528C58867D3}" sibTransId="{823E0D22-3B06-4D22-A682-4DB7B5BD1810}"/>
    <dgm:cxn modelId="{2D6AF457-29B8-487D-8838-DF235CC7F4AA}" srcId="{074B2CB5-B011-496A-94FF-E86C08F58D2C}" destId="{F50C5B60-51BB-424D-8987-02BD3450179E}" srcOrd="0" destOrd="0" parTransId="{921C3EEE-A8C8-4BDD-97B4-6F3F35E0BE88}" sibTransId="{C14FBB9A-77EA-43A8-815B-259BE2563496}"/>
    <dgm:cxn modelId="{EF815778-3146-4AE5-9E92-B43FF1DD71D9}" type="presOf" srcId="{074B2CB5-B011-496A-94FF-E86C08F58D2C}" destId="{A8CFF7DE-58C9-4CC0-BFF3-181A9760094A}" srcOrd="0" destOrd="0" presId="urn:microsoft.com/office/officeart/2005/8/layout/radial6"/>
    <dgm:cxn modelId="{117E757A-23BB-4C61-949A-A5038A2ADB49}" srcId="{594158CF-9F55-4748-ACA7-A42205606383}" destId="{074B2CB5-B011-496A-94FF-E86C08F58D2C}" srcOrd="0" destOrd="0" parTransId="{1FD69CA8-4897-4E18-9FDA-30B3E103BF8E}" sibTransId="{0CBE1945-B9BF-4CEF-9DA0-75677634EDA1}"/>
    <dgm:cxn modelId="{12ED81B0-5E84-4F2D-A095-58E7BAC7658C}" type="presOf" srcId="{17F10457-9D0B-4D41-A8D2-E32FA2071245}" destId="{60C6CD68-0561-4F20-9E5B-71C449C9DD03}" srcOrd="0" destOrd="0" presId="urn:microsoft.com/office/officeart/2005/8/layout/radial6"/>
    <dgm:cxn modelId="{237563BA-477B-467F-B80C-CE21C85BA610}" srcId="{074B2CB5-B011-496A-94FF-E86C08F58D2C}" destId="{647C944C-47E5-4E8D-B120-E12263DB724D}" srcOrd="2" destOrd="0" parTransId="{4A3ED885-3BFD-431E-8854-A55D52704DCC}" sibTransId="{14ED029F-2A82-485F-9614-551F14A88DCC}"/>
    <dgm:cxn modelId="{C6ECE0BB-0826-4AD2-A611-24902D352B9F}" type="presOf" srcId="{C14FBB9A-77EA-43A8-815B-259BE2563496}" destId="{C07F1D00-435D-4F2D-A392-A8CBACF9BEC1}" srcOrd="0" destOrd="0" presId="urn:microsoft.com/office/officeart/2005/8/layout/radial6"/>
    <dgm:cxn modelId="{67821CCC-2C4B-4F60-BF69-BF9BCB689CF2}" type="presOf" srcId="{14ED029F-2A82-485F-9614-551F14A88DCC}" destId="{2F97856C-5BE7-42E0-A962-F91EC7D08CCE}" srcOrd="0" destOrd="0" presId="urn:microsoft.com/office/officeart/2005/8/layout/radial6"/>
    <dgm:cxn modelId="{0AE08CCE-37F4-4140-BCDB-0C48EEEFA72B}" type="presOf" srcId="{647C944C-47E5-4E8D-B120-E12263DB724D}" destId="{5B4A0870-E13D-4AC4-B248-5E7551E96E7A}" srcOrd="0" destOrd="0" presId="urn:microsoft.com/office/officeart/2005/8/layout/radial6"/>
    <dgm:cxn modelId="{57AE8FD4-2163-45D1-B187-E1E0A2624E8B}" type="presOf" srcId="{06579B4B-2DF5-41D3-B079-4E4F6C84AFD0}" destId="{6EF5B396-D92A-44BB-8E52-D6BF60F85ADB}" srcOrd="0" destOrd="0" presId="urn:microsoft.com/office/officeart/2005/8/layout/radial6"/>
    <dgm:cxn modelId="{01593BF5-E6EC-400C-8A3B-52CD820E0271}" type="presParOf" srcId="{9D29D2F4-9AD9-4A48-99CD-D8F601F27B91}" destId="{A8CFF7DE-58C9-4CC0-BFF3-181A9760094A}" srcOrd="0" destOrd="0" presId="urn:microsoft.com/office/officeart/2005/8/layout/radial6"/>
    <dgm:cxn modelId="{4F77C493-249C-4E52-BF8E-80250EC594CB}" type="presParOf" srcId="{9D29D2F4-9AD9-4A48-99CD-D8F601F27B91}" destId="{736E1DD3-0947-4C94-8B95-C870868C4179}" srcOrd="1" destOrd="0" presId="urn:microsoft.com/office/officeart/2005/8/layout/radial6"/>
    <dgm:cxn modelId="{708BD84A-00A4-436E-A1DD-2DD0390087F1}" type="presParOf" srcId="{9D29D2F4-9AD9-4A48-99CD-D8F601F27B91}" destId="{BE578ACF-6872-48E2-A366-76C3B2B28BFD}" srcOrd="2" destOrd="0" presId="urn:microsoft.com/office/officeart/2005/8/layout/radial6"/>
    <dgm:cxn modelId="{F8A665E2-CBA4-460C-84A8-2F4B661E41CB}" type="presParOf" srcId="{9D29D2F4-9AD9-4A48-99CD-D8F601F27B91}" destId="{C07F1D00-435D-4F2D-A392-A8CBACF9BEC1}" srcOrd="3" destOrd="0" presId="urn:microsoft.com/office/officeart/2005/8/layout/radial6"/>
    <dgm:cxn modelId="{C9D26868-75BC-4EBE-9E24-C69A1F718C07}" type="presParOf" srcId="{9D29D2F4-9AD9-4A48-99CD-D8F601F27B91}" destId="{60C6CD68-0561-4F20-9E5B-71C449C9DD03}" srcOrd="4" destOrd="0" presId="urn:microsoft.com/office/officeart/2005/8/layout/radial6"/>
    <dgm:cxn modelId="{6E908C72-73D2-4BE0-9343-B4BD68EABEF1}" type="presParOf" srcId="{9D29D2F4-9AD9-4A48-99CD-D8F601F27B91}" destId="{99002E16-94F0-4869-B22D-C0A67E40157A}" srcOrd="5" destOrd="0" presId="urn:microsoft.com/office/officeart/2005/8/layout/radial6"/>
    <dgm:cxn modelId="{58929692-9308-4525-93A3-A5F4AA958E34}" type="presParOf" srcId="{9D29D2F4-9AD9-4A48-99CD-D8F601F27B91}" destId="{E54EE6D2-072C-4057-B790-2CCA19660651}" srcOrd="6" destOrd="0" presId="urn:microsoft.com/office/officeart/2005/8/layout/radial6"/>
    <dgm:cxn modelId="{A146FCF9-ADA4-4057-A6EB-3DB23AB6BB08}" type="presParOf" srcId="{9D29D2F4-9AD9-4A48-99CD-D8F601F27B91}" destId="{5B4A0870-E13D-4AC4-B248-5E7551E96E7A}" srcOrd="7" destOrd="0" presId="urn:microsoft.com/office/officeart/2005/8/layout/radial6"/>
    <dgm:cxn modelId="{C4F30811-67CE-409F-8806-358BC82E1B7C}" type="presParOf" srcId="{9D29D2F4-9AD9-4A48-99CD-D8F601F27B91}" destId="{9CA98CF7-FC46-40AD-9545-FC1D5935FF7C}" srcOrd="8" destOrd="0" presId="urn:microsoft.com/office/officeart/2005/8/layout/radial6"/>
    <dgm:cxn modelId="{AF330673-7A46-4DA9-9808-45FC23759ABA}" type="presParOf" srcId="{9D29D2F4-9AD9-4A48-99CD-D8F601F27B91}" destId="{2F97856C-5BE7-42E0-A962-F91EC7D08CCE}" srcOrd="9" destOrd="0" presId="urn:microsoft.com/office/officeart/2005/8/layout/radial6"/>
    <dgm:cxn modelId="{921EEAA8-EE30-4306-81B3-E9307379F1F7}" type="presParOf" srcId="{9D29D2F4-9AD9-4A48-99CD-D8F601F27B91}" destId="{6EF5B396-D92A-44BB-8E52-D6BF60F85ADB}" srcOrd="10" destOrd="0" presId="urn:microsoft.com/office/officeart/2005/8/layout/radial6"/>
    <dgm:cxn modelId="{42D19229-1D15-4138-B370-2B0C3DB6ECF9}" type="presParOf" srcId="{9D29D2F4-9AD9-4A48-99CD-D8F601F27B91}" destId="{AC494D47-0F8F-4EF1-A083-31F499FE9F34}" srcOrd="11" destOrd="0" presId="urn:microsoft.com/office/officeart/2005/8/layout/radial6"/>
    <dgm:cxn modelId="{43A35F7B-F7EF-455A-A957-C9EBF567F8EB}" type="presParOf" srcId="{9D29D2F4-9AD9-4A48-99CD-D8F601F27B91}" destId="{321BC63F-4A9E-4000-AB20-05D938C107AE}" srcOrd="12" destOrd="0" presId="urn:microsoft.com/office/officeart/2005/8/layout/radial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1BC63F-4A9E-4000-AB20-05D938C107AE}">
      <dsp:nvSpPr>
        <dsp:cNvPr id="0" name=""/>
        <dsp:cNvSpPr/>
      </dsp:nvSpPr>
      <dsp:spPr>
        <a:xfrm>
          <a:off x="1327705" y="370443"/>
          <a:ext cx="2469038" cy="2469038"/>
        </a:xfrm>
        <a:prstGeom prst="blockArc">
          <a:avLst>
            <a:gd name="adj1" fmla="val 10800000"/>
            <a:gd name="adj2" fmla="val 16200000"/>
            <a:gd name="adj3" fmla="val 4639"/>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2F97856C-5BE7-42E0-A962-F91EC7D08CCE}">
      <dsp:nvSpPr>
        <dsp:cNvPr id="0" name=""/>
        <dsp:cNvSpPr/>
      </dsp:nvSpPr>
      <dsp:spPr>
        <a:xfrm>
          <a:off x="1327705" y="370443"/>
          <a:ext cx="2469038" cy="2469038"/>
        </a:xfrm>
        <a:prstGeom prst="blockArc">
          <a:avLst>
            <a:gd name="adj1" fmla="val 5400000"/>
            <a:gd name="adj2" fmla="val 10800000"/>
            <a:gd name="adj3" fmla="val 4639"/>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E54EE6D2-072C-4057-B790-2CCA19660651}">
      <dsp:nvSpPr>
        <dsp:cNvPr id="0" name=""/>
        <dsp:cNvSpPr/>
      </dsp:nvSpPr>
      <dsp:spPr>
        <a:xfrm>
          <a:off x="1327705" y="370443"/>
          <a:ext cx="2469038" cy="2469038"/>
        </a:xfrm>
        <a:prstGeom prst="blockArc">
          <a:avLst>
            <a:gd name="adj1" fmla="val 0"/>
            <a:gd name="adj2" fmla="val 5400000"/>
            <a:gd name="adj3" fmla="val 4639"/>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C07F1D00-435D-4F2D-A392-A8CBACF9BEC1}">
      <dsp:nvSpPr>
        <dsp:cNvPr id="0" name=""/>
        <dsp:cNvSpPr/>
      </dsp:nvSpPr>
      <dsp:spPr>
        <a:xfrm>
          <a:off x="1327705" y="370443"/>
          <a:ext cx="2469038" cy="2469038"/>
        </a:xfrm>
        <a:prstGeom prst="blockArc">
          <a:avLst>
            <a:gd name="adj1" fmla="val 16200000"/>
            <a:gd name="adj2" fmla="val 0"/>
            <a:gd name="adj3" fmla="val 4639"/>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A8CFF7DE-58C9-4CC0-BFF3-181A9760094A}">
      <dsp:nvSpPr>
        <dsp:cNvPr id="0" name=""/>
        <dsp:cNvSpPr/>
      </dsp:nvSpPr>
      <dsp:spPr>
        <a:xfrm>
          <a:off x="1993606" y="1036343"/>
          <a:ext cx="1137237" cy="1137237"/>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Calibri" panose="020F0502020204030204"/>
              <a:ea typeface="+mn-ea"/>
              <a:cs typeface="+mn-cs"/>
            </a:rPr>
            <a:t>Jatro Renewables</a:t>
          </a:r>
          <a:br>
            <a:rPr lang="en-US" sz="1200" kern="1200">
              <a:latin typeface="Calibri" panose="020F0502020204030204"/>
              <a:ea typeface="+mn-ea"/>
              <a:cs typeface="+mn-cs"/>
            </a:rPr>
          </a:br>
          <a:r>
            <a:rPr lang="en-US" sz="1200" kern="1200">
              <a:latin typeface="Calibri" panose="020F0502020204030204"/>
              <a:ea typeface="+mn-ea"/>
              <a:cs typeface="+mn-cs"/>
            </a:rPr>
            <a:t>Holding Co. (Franchisor)</a:t>
          </a:r>
        </a:p>
      </dsp:txBody>
      <dsp:txXfrm>
        <a:off x="2160151" y="1202888"/>
        <a:ext cx="804147" cy="804147"/>
      </dsp:txXfrm>
    </dsp:sp>
    <dsp:sp modelId="{736E1DD3-0947-4C94-8B95-C870868C4179}">
      <dsp:nvSpPr>
        <dsp:cNvPr id="0" name=""/>
        <dsp:cNvSpPr/>
      </dsp:nvSpPr>
      <dsp:spPr>
        <a:xfrm>
          <a:off x="2164191" y="1068"/>
          <a:ext cx="796066" cy="796066"/>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latin typeface="Calibri" panose="020F0502020204030204"/>
              <a:ea typeface="+mn-ea"/>
              <a:cs typeface="+mn-cs"/>
            </a:rPr>
            <a:t>Financial Entity</a:t>
          </a:r>
        </a:p>
      </dsp:txBody>
      <dsp:txXfrm>
        <a:off x="2280772" y="117649"/>
        <a:ext cx="562904" cy="562904"/>
      </dsp:txXfrm>
    </dsp:sp>
    <dsp:sp modelId="{60C6CD68-0561-4F20-9E5B-71C449C9DD03}">
      <dsp:nvSpPr>
        <dsp:cNvPr id="0" name=""/>
        <dsp:cNvSpPr/>
      </dsp:nvSpPr>
      <dsp:spPr>
        <a:xfrm>
          <a:off x="3370052" y="1206929"/>
          <a:ext cx="796066" cy="796066"/>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Calibri" panose="020F0502020204030204"/>
              <a:ea typeface="+mn-ea"/>
              <a:cs typeface="+mn-cs"/>
            </a:rPr>
            <a:t>Petroleum Distributor</a:t>
          </a:r>
        </a:p>
      </dsp:txBody>
      <dsp:txXfrm>
        <a:off x="3486633" y="1323510"/>
        <a:ext cx="562904" cy="562904"/>
      </dsp:txXfrm>
    </dsp:sp>
    <dsp:sp modelId="{5B4A0870-E13D-4AC4-B248-5E7551E96E7A}">
      <dsp:nvSpPr>
        <dsp:cNvPr id="0" name=""/>
        <dsp:cNvSpPr/>
      </dsp:nvSpPr>
      <dsp:spPr>
        <a:xfrm>
          <a:off x="2164191" y="2412790"/>
          <a:ext cx="796066" cy="796066"/>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377825">
            <a:lnSpc>
              <a:spcPct val="90000"/>
            </a:lnSpc>
            <a:spcBef>
              <a:spcPct val="0"/>
            </a:spcBef>
            <a:spcAft>
              <a:spcPct val="35000"/>
            </a:spcAft>
            <a:buNone/>
          </a:pPr>
          <a:r>
            <a:rPr lang="en-US" sz="850" kern="1200">
              <a:latin typeface="Calibri" panose="020F0502020204030204"/>
              <a:ea typeface="+mn-ea"/>
              <a:cs typeface="+mn-cs"/>
            </a:rPr>
            <a:t>Plant Operator (Franchisee</a:t>
          </a:r>
          <a:r>
            <a:rPr lang="en-US" sz="800" kern="1200">
              <a:latin typeface="Calibri" panose="020F0502020204030204"/>
              <a:ea typeface="+mn-ea"/>
              <a:cs typeface="+mn-cs"/>
            </a:rPr>
            <a:t>)</a:t>
          </a:r>
        </a:p>
      </dsp:txBody>
      <dsp:txXfrm>
        <a:off x="2280772" y="2529371"/>
        <a:ext cx="562904" cy="562904"/>
      </dsp:txXfrm>
    </dsp:sp>
    <dsp:sp modelId="{6EF5B396-D92A-44BB-8E52-D6BF60F85ADB}">
      <dsp:nvSpPr>
        <dsp:cNvPr id="0" name=""/>
        <dsp:cNvSpPr/>
      </dsp:nvSpPr>
      <dsp:spPr>
        <a:xfrm>
          <a:off x="958331" y="1206929"/>
          <a:ext cx="796066" cy="796066"/>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latin typeface="Calibri" panose="020F0502020204030204"/>
              <a:ea typeface="+mn-ea"/>
              <a:cs typeface="+mn-cs"/>
            </a:rPr>
            <a:t>Feedstock Broker</a:t>
          </a:r>
        </a:p>
      </dsp:txBody>
      <dsp:txXfrm>
        <a:off x="1074912" y="1323510"/>
        <a:ext cx="562904" cy="56290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0.0525</cdr:x>
      <cdr:y>0.22656</cdr:y>
    </cdr:from>
    <cdr:to>
      <cdr:x>0.18035</cdr:x>
      <cdr:y>0.30319</cdr:y>
    </cdr:to>
    <cdr:sp macro="" textlink="">
      <cdr:nvSpPr>
        <cdr:cNvPr id="2" name="TextBox 1">
          <a:extLst xmlns:a="http://schemas.openxmlformats.org/drawingml/2006/main">
            <a:ext uri="{FF2B5EF4-FFF2-40B4-BE49-F238E27FC236}">
              <a16:creationId xmlns:a16="http://schemas.microsoft.com/office/drawing/2014/main" id="{1C82CB6D-4220-4817-8662-5A636CC070B2}"/>
            </a:ext>
          </a:extLst>
        </cdr:cNvPr>
        <cdr:cNvSpPr txBox="1"/>
      </cdr:nvSpPr>
      <cdr:spPr>
        <a:xfrm xmlns:a="http://schemas.openxmlformats.org/drawingml/2006/main">
          <a:off x="312039" y="811387"/>
          <a:ext cx="759889" cy="2744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EBITDA</a:t>
          </a:r>
        </a:p>
      </cdr:txBody>
    </cdr:sp>
  </cdr:relSizeAnchor>
</c:userShapes>
</file>

<file path=word/drawings/drawing2.xml><?xml version="1.0" encoding="utf-8"?>
<c:userShapes xmlns:c="http://schemas.openxmlformats.org/drawingml/2006/chart">
  <cdr:relSizeAnchor xmlns:cdr="http://schemas.openxmlformats.org/drawingml/2006/chartDrawing">
    <cdr:from>
      <cdr:x>0.0493</cdr:x>
      <cdr:y>0.18584</cdr:y>
    </cdr:from>
    <cdr:to>
      <cdr:x>0.17715</cdr:x>
      <cdr:y>0.22899</cdr:y>
    </cdr:to>
    <cdr:sp macro="" textlink="">
      <cdr:nvSpPr>
        <cdr:cNvPr id="2" name="TextBox 1">
          <a:extLst xmlns:a="http://schemas.openxmlformats.org/drawingml/2006/main">
            <a:ext uri="{FF2B5EF4-FFF2-40B4-BE49-F238E27FC236}">
              <a16:creationId xmlns:a16="http://schemas.microsoft.com/office/drawing/2014/main" id="{1C82CB6D-4220-4817-8662-5A636CC070B2}"/>
            </a:ext>
          </a:extLst>
        </cdr:cNvPr>
        <cdr:cNvSpPr txBox="1"/>
      </cdr:nvSpPr>
      <cdr:spPr>
        <a:xfrm xmlns:a="http://schemas.openxmlformats.org/drawingml/2006/main">
          <a:off x="293003" y="752296"/>
          <a:ext cx="759889" cy="1746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EBITDA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8E203-52E8-421A-826B-1D65F97BF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Lawson</dc:creator>
  <cp:keywords/>
  <dc:description/>
  <cp:lastModifiedBy>Ian Lawson</cp:lastModifiedBy>
  <cp:revision>3</cp:revision>
  <cp:lastPrinted>2018-02-21T18:15:00Z</cp:lastPrinted>
  <dcterms:created xsi:type="dcterms:W3CDTF">2018-02-21T18:27:00Z</dcterms:created>
  <dcterms:modified xsi:type="dcterms:W3CDTF">2018-02-21T18:27:00Z</dcterms:modified>
</cp:coreProperties>
</file>